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D6A1D" w:rsidRPr="0037511C" w:rsidRDefault="00FD6A1D" w:rsidP="00FD6A1D">
      <w:pPr>
        <w:spacing w:after="160" w:line="259" w:lineRule="auto"/>
        <w:ind w:right="-63"/>
        <w:jc w:val="center"/>
        <w:rPr>
          <w:rFonts w:ascii="Times New Roman" w:hAnsi="Times New Roman"/>
          <w:b/>
          <w:color w:val="FF0000"/>
          <w:sz w:val="24"/>
          <w:szCs w:val="24"/>
        </w:rPr>
      </w:pPr>
      <w:r>
        <w:rPr>
          <w:rFonts w:ascii="Times New Roman" w:hAnsi="Times New Roman"/>
          <w:b/>
          <w:sz w:val="24"/>
          <w:szCs w:val="24"/>
        </w:rPr>
        <w:t xml:space="preserve">Application of Corporate Personality Doctrine under the Nigerian Corporate Law and </w:t>
      </w:r>
      <w:proofErr w:type="spellStart"/>
      <w:r>
        <w:rPr>
          <w:rFonts w:ascii="Times New Roman" w:hAnsi="Times New Roman"/>
          <w:b/>
          <w:sz w:val="24"/>
          <w:szCs w:val="24"/>
        </w:rPr>
        <w:t>Shari’ah</w:t>
      </w:r>
      <w:proofErr w:type="spellEnd"/>
    </w:p>
    <w:p w:rsidR="00FD6A1D" w:rsidRDefault="00FD6A1D" w:rsidP="00FD6A1D">
      <w:pPr>
        <w:spacing w:after="160" w:line="259" w:lineRule="auto"/>
        <w:ind w:left="90" w:right="-63"/>
        <w:jc w:val="center"/>
        <w:rPr>
          <w:rFonts w:ascii="Times New Roman" w:hAnsi="Times New Roman"/>
          <w:b/>
          <w:sz w:val="24"/>
          <w:szCs w:val="24"/>
        </w:rPr>
      </w:pPr>
      <w:r>
        <w:rPr>
          <w:rFonts w:ascii="Times New Roman" w:hAnsi="Times New Roman"/>
          <w:b/>
          <w:sz w:val="24"/>
          <w:szCs w:val="24"/>
        </w:rPr>
        <w:t>By</w:t>
      </w:r>
    </w:p>
    <w:p w:rsidR="00FD6A1D" w:rsidRDefault="00FD6A1D" w:rsidP="00FD6A1D">
      <w:pPr>
        <w:spacing w:after="160" w:line="259" w:lineRule="auto"/>
        <w:ind w:left="90" w:right="-63"/>
        <w:jc w:val="center"/>
        <w:rPr>
          <w:rFonts w:ascii="Times New Roman" w:hAnsi="Times New Roman"/>
          <w:b/>
          <w:sz w:val="24"/>
          <w:szCs w:val="24"/>
        </w:rPr>
      </w:pPr>
    </w:p>
    <w:p w:rsidR="00FD6A1D" w:rsidRDefault="00FD6A1D" w:rsidP="00FD6A1D">
      <w:pPr>
        <w:spacing w:after="160" w:line="259" w:lineRule="auto"/>
        <w:ind w:left="90" w:right="-63"/>
        <w:jc w:val="center"/>
        <w:rPr>
          <w:rFonts w:ascii="Times New Roman" w:hAnsi="Times New Roman"/>
          <w:b/>
          <w:sz w:val="24"/>
          <w:szCs w:val="24"/>
        </w:rPr>
      </w:pPr>
      <w:r>
        <w:rPr>
          <w:rFonts w:ascii="Times New Roman" w:hAnsi="Times New Roman"/>
          <w:b/>
          <w:sz w:val="24"/>
          <w:szCs w:val="24"/>
        </w:rPr>
        <w:t>Ahmed A. Muhammed-</w:t>
      </w:r>
      <w:proofErr w:type="spellStart"/>
      <w:r>
        <w:rPr>
          <w:rFonts w:ascii="Times New Roman" w:hAnsi="Times New Roman"/>
          <w:b/>
          <w:sz w:val="24"/>
          <w:szCs w:val="24"/>
        </w:rPr>
        <w:t>Mikaaeel</w:t>
      </w:r>
      <w:proofErr w:type="spellEnd"/>
      <w:r>
        <w:rPr>
          <w:rFonts w:ascii="Times New Roman" w:hAnsi="Times New Roman"/>
          <w:b/>
          <w:sz w:val="24"/>
          <w:szCs w:val="24"/>
        </w:rPr>
        <w:t>*</w:t>
      </w:r>
    </w:p>
    <w:p w:rsidR="00FD6A1D" w:rsidRDefault="00FD6A1D" w:rsidP="00FD6A1D">
      <w:pPr>
        <w:spacing w:line="360" w:lineRule="auto"/>
        <w:ind w:left="90" w:right="-63"/>
        <w:rPr>
          <w:rFonts w:ascii="Times New Roman" w:hAnsi="Times New Roman"/>
          <w:b/>
          <w:sz w:val="24"/>
          <w:szCs w:val="24"/>
        </w:rPr>
      </w:pPr>
    </w:p>
    <w:p w:rsidR="00FD6A1D" w:rsidRDefault="00FD6A1D" w:rsidP="00FD6A1D">
      <w:pPr>
        <w:spacing w:after="0" w:line="240" w:lineRule="auto"/>
        <w:ind w:left="90" w:right="-63"/>
        <w:jc w:val="center"/>
        <w:rPr>
          <w:rFonts w:ascii="Times New Roman" w:hAnsi="Times New Roman"/>
          <w:b/>
          <w:sz w:val="24"/>
          <w:szCs w:val="24"/>
        </w:rPr>
      </w:pPr>
      <w:r>
        <w:rPr>
          <w:rFonts w:ascii="Times New Roman" w:hAnsi="Times New Roman"/>
          <w:b/>
          <w:sz w:val="24"/>
          <w:szCs w:val="24"/>
        </w:rPr>
        <w:t>ABSTRACT</w:t>
      </w:r>
    </w:p>
    <w:p w:rsidR="00FD6A1D" w:rsidRDefault="00FD6A1D" w:rsidP="00FD6A1D">
      <w:pPr>
        <w:spacing w:line="240" w:lineRule="auto"/>
        <w:ind w:left="90" w:right="-63"/>
        <w:jc w:val="both"/>
        <w:rPr>
          <w:rFonts w:ascii="Times New Roman" w:hAnsi="Times New Roman"/>
          <w:b/>
          <w:sz w:val="24"/>
          <w:szCs w:val="24"/>
        </w:rPr>
      </w:pPr>
      <w:r>
        <w:rPr>
          <w:rFonts w:ascii="Times New Roman" w:hAnsi="Times New Roman"/>
          <w:b/>
        </w:rPr>
        <w:t>Corporate personality doctrine has come to protect business enterprises from associated risks in the course of business transactions. The beneficiaries of the corporate personality doctrine are the corporate managers because of the statutory protection they enjoy under the Nigerian corporate law. The statutory protection is being used as catalyst to perpetuate corporate governance failure. With the recognition of artificial personality (</w:t>
      </w:r>
      <w:proofErr w:type="spellStart"/>
      <w:r>
        <w:rPr>
          <w:rFonts w:ascii="Times New Roman" w:hAnsi="Times New Roman"/>
          <w:b/>
          <w:i/>
          <w:iCs/>
        </w:rPr>
        <w:t>Shakhsiyyah</w:t>
      </w:r>
      <w:proofErr w:type="spellEnd"/>
      <w:r>
        <w:rPr>
          <w:rFonts w:ascii="Times New Roman" w:hAnsi="Times New Roman"/>
          <w:b/>
          <w:i/>
          <w:iCs/>
        </w:rPr>
        <w:t xml:space="preserve"> ‘</w:t>
      </w:r>
      <w:proofErr w:type="spellStart"/>
      <w:r>
        <w:rPr>
          <w:rFonts w:ascii="Times New Roman" w:hAnsi="Times New Roman"/>
          <w:b/>
          <w:i/>
          <w:iCs/>
        </w:rPr>
        <w:t>Itibaariyyah</w:t>
      </w:r>
      <w:proofErr w:type="spellEnd"/>
      <w:r>
        <w:rPr>
          <w:rFonts w:ascii="Times New Roman" w:hAnsi="Times New Roman"/>
          <w:b/>
        </w:rPr>
        <w:t xml:space="preserve">) in Islamic jurisprudence vide the position of certain schools of jurisprudence, there is need to examine whether such statutory protection is affirmed as well.  This paper therefore examines the application of corporate personality doctrine under the Nigerian corporate law and </w:t>
      </w:r>
      <w:proofErr w:type="spellStart"/>
      <w:r>
        <w:rPr>
          <w:rFonts w:ascii="Times New Roman" w:hAnsi="Times New Roman"/>
          <w:b/>
          <w:i/>
          <w:iCs/>
        </w:rPr>
        <w:t>Shari’ah</w:t>
      </w:r>
      <w:proofErr w:type="spellEnd"/>
      <w:r>
        <w:rPr>
          <w:rFonts w:ascii="Times New Roman" w:hAnsi="Times New Roman"/>
          <w:b/>
        </w:rPr>
        <w:t xml:space="preserve">. This paper adopts doctrinal method of legal research vide reliance on the primary and secondary sources like Qur’an and hadith, </w:t>
      </w:r>
      <w:proofErr w:type="spellStart"/>
      <w:r>
        <w:rPr>
          <w:rFonts w:ascii="Times New Roman" w:hAnsi="Times New Roman"/>
          <w:b/>
        </w:rPr>
        <w:t>Qiyas</w:t>
      </w:r>
      <w:proofErr w:type="spellEnd"/>
      <w:r>
        <w:rPr>
          <w:rFonts w:ascii="Times New Roman" w:hAnsi="Times New Roman"/>
          <w:b/>
        </w:rPr>
        <w:t xml:space="preserve">, the Nigerian Constitution, Company and Allied Matters Act, text books, journals and internet facilities. The paper reveals that the implications of corporate personality doctrine under the Nigerian Corporate Law and </w:t>
      </w:r>
      <w:proofErr w:type="spellStart"/>
      <w:r>
        <w:rPr>
          <w:rFonts w:ascii="Times New Roman" w:hAnsi="Times New Roman"/>
          <w:b/>
          <w:i/>
          <w:iCs/>
        </w:rPr>
        <w:t>Shari’ah</w:t>
      </w:r>
      <w:proofErr w:type="spellEnd"/>
      <w:r>
        <w:rPr>
          <w:rFonts w:ascii="Times New Roman" w:hAnsi="Times New Roman"/>
          <w:b/>
        </w:rPr>
        <w:t xml:space="preserve"> are not on all fours. It further reveals that the existing legal framework in the country </w:t>
      </w:r>
      <w:proofErr w:type="spellStart"/>
      <w:r>
        <w:rPr>
          <w:rFonts w:ascii="Times New Roman" w:hAnsi="Times New Roman"/>
          <w:b/>
        </w:rPr>
        <w:t>favours</w:t>
      </w:r>
      <w:proofErr w:type="spellEnd"/>
      <w:r>
        <w:rPr>
          <w:rFonts w:ascii="Times New Roman" w:hAnsi="Times New Roman"/>
          <w:b/>
        </w:rPr>
        <w:t xml:space="preserve"> the application of the corporate personality doctrine under the Nigerian Corporate Law but hinders the actual practicability of </w:t>
      </w:r>
      <w:proofErr w:type="spellStart"/>
      <w:r>
        <w:rPr>
          <w:rFonts w:ascii="Times New Roman" w:hAnsi="Times New Roman"/>
          <w:b/>
          <w:i/>
          <w:iCs/>
        </w:rPr>
        <w:t>Shari’ah</w:t>
      </w:r>
      <w:proofErr w:type="spellEnd"/>
      <w:r>
        <w:rPr>
          <w:rFonts w:ascii="Times New Roman" w:hAnsi="Times New Roman"/>
          <w:b/>
        </w:rPr>
        <w:t xml:space="preserve"> rules to corporate personality doctrine. The paper concludes that to fully activate the provision of Section 38 of the Constitution in </w:t>
      </w:r>
      <w:proofErr w:type="spellStart"/>
      <w:r>
        <w:rPr>
          <w:rFonts w:ascii="Times New Roman" w:hAnsi="Times New Roman"/>
          <w:b/>
        </w:rPr>
        <w:t>favour</w:t>
      </w:r>
      <w:proofErr w:type="spellEnd"/>
      <w:r>
        <w:rPr>
          <w:rFonts w:ascii="Times New Roman" w:hAnsi="Times New Roman"/>
          <w:b/>
        </w:rPr>
        <w:t xml:space="preserve"> of </w:t>
      </w:r>
      <w:proofErr w:type="spellStart"/>
      <w:r>
        <w:rPr>
          <w:rFonts w:ascii="Times New Roman" w:hAnsi="Times New Roman"/>
          <w:b/>
          <w:i/>
          <w:iCs/>
        </w:rPr>
        <w:t>Shari’ah</w:t>
      </w:r>
      <w:proofErr w:type="spellEnd"/>
      <w:r>
        <w:rPr>
          <w:rFonts w:ascii="Times New Roman" w:hAnsi="Times New Roman"/>
          <w:b/>
        </w:rPr>
        <w:t xml:space="preserve">, there is need for amendment of the existing framework to make way for </w:t>
      </w:r>
      <w:proofErr w:type="spellStart"/>
      <w:r>
        <w:rPr>
          <w:rFonts w:ascii="Times New Roman" w:hAnsi="Times New Roman"/>
          <w:b/>
          <w:i/>
          <w:iCs/>
        </w:rPr>
        <w:t>Shari’ah</w:t>
      </w:r>
      <w:proofErr w:type="spellEnd"/>
      <w:r>
        <w:rPr>
          <w:rFonts w:ascii="Times New Roman" w:hAnsi="Times New Roman"/>
          <w:b/>
        </w:rPr>
        <w:t xml:space="preserve"> modification in dealing with the corporate activities by Muslim corporate managers as a form of contribution to fight against corporate governance failure in the country.    </w:t>
      </w:r>
    </w:p>
    <w:p w:rsidR="00FD6A1D" w:rsidRDefault="00FD6A1D" w:rsidP="00FD6A1D">
      <w:pPr>
        <w:spacing w:line="240" w:lineRule="auto"/>
        <w:ind w:left="90" w:right="-63"/>
        <w:jc w:val="both"/>
        <w:rPr>
          <w:rFonts w:ascii="Times New Roman" w:hAnsi="Times New Roman"/>
          <w:b/>
          <w:sz w:val="24"/>
          <w:szCs w:val="24"/>
        </w:rPr>
      </w:pPr>
      <w:r>
        <w:rPr>
          <w:rFonts w:ascii="Times New Roman" w:hAnsi="Times New Roman"/>
          <w:b/>
          <w:sz w:val="24"/>
          <w:szCs w:val="24"/>
        </w:rPr>
        <w:t>Key words:</w:t>
      </w:r>
      <w:r w:rsidRPr="00AA53DD">
        <w:rPr>
          <w:rFonts w:ascii="Times New Roman" w:hAnsi="Times New Roman"/>
          <w:b/>
          <w:i/>
          <w:iCs/>
          <w:sz w:val="24"/>
          <w:szCs w:val="24"/>
        </w:rPr>
        <w:t xml:space="preserve"> Application, Corporate Personality, Nigerian Corporate Law, </w:t>
      </w:r>
      <w:proofErr w:type="spellStart"/>
      <w:r w:rsidRPr="00AA53DD">
        <w:rPr>
          <w:rFonts w:ascii="Times New Roman" w:hAnsi="Times New Roman"/>
          <w:b/>
          <w:i/>
          <w:iCs/>
          <w:sz w:val="24"/>
          <w:szCs w:val="24"/>
        </w:rPr>
        <w:t>Shari’ah</w:t>
      </w:r>
      <w:proofErr w:type="spellEnd"/>
      <w:r w:rsidRPr="00AA53DD">
        <w:rPr>
          <w:rFonts w:ascii="Times New Roman" w:hAnsi="Times New Roman"/>
          <w:b/>
          <w:i/>
          <w:iCs/>
          <w:sz w:val="24"/>
          <w:szCs w:val="24"/>
        </w:rPr>
        <w:t xml:space="preserve">, Corporate Activities, </w:t>
      </w:r>
      <w:proofErr w:type="spellStart"/>
      <w:r w:rsidRPr="00AA53DD">
        <w:rPr>
          <w:rFonts w:ascii="Times New Roman" w:hAnsi="Times New Roman"/>
          <w:b/>
          <w:i/>
          <w:iCs/>
          <w:sz w:val="24"/>
          <w:szCs w:val="24"/>
        </w:rPr>
        <w:t>Shar’iah</w:t>
      </w:r>
      <w:proofErr w:type="spellEnd"/>
      <w:r w:rsidRPr="00AA53DD">
        <w:rPr>
          <w:rFonts w:ascii="Times New Roman" w:hAnsi="Times New Roman"/>
          <w:b/>
          <w:i/>
          <w:iCs/>
          <w:sz w:val="24"/>
          <w:szCs w:val="24"/>
        </w:rPr>
        <w:t xml:space="preserve"> Modification.</w:t>
      </w:r>
    </w:p>
    <w:p w:rsidR="00FD6A1D" w:rsidRDefault="00FD6A1D" w:rsidP="00FD6A1D">
      <w:pPr>
        <w:spacing w:after="0" w:line="360" w:lineRule="auto"/>
        <w:ind w:left="90" w:right="-63"/>
        <w:jc w:val="both"/>
        <w:rPr>
          <w:rFonts w:ascii="Times New Roman" w:hAnsi="Times New Roman"/>
          <w:b/>
          <w:sz w:val="24"/>
          <w:szCs w:val="24"/>
        </w:rPr>
      </w:pPr>
      <w:r>
        <w:rPr>
          <w:rFonts w:ascii="Times New Roman" w:hAnsi="Times New Roman"/>
          <w:b/>
          <w:sz w:val="24"/>
          <w:szCs w:val="24"/>
        </w:rPr>
        <w:t>1.</w:t>
      </w:r>
      <w:r>
        <w:rPr>
          <w:rFonts w:ascii="Times New Roman" w:hAnsi="Times New Roman"/>
          <w:b/>
          <w:sz w:val="24"/>
          <w:szCs w:val="24"/>
        </w:rPr>
        <w:tab/>
        <w:t>Introduction</w:t>
      </w:r>
    </w:p>
    <w:p w:rsidR="00FD6A1D" w:rsidRDefault="00FD6A1D" w:rsidP="00FD6A1D">
      <w:pPr>
        <w:spacing w:line="360" w:lineRule="auto"/>
        <w:ind w:left="90" w:right="-63"/>
        <w:jc w:val="both"/>
        <w:rPr>
          <w:rFonts w:ascii="Times New Roman" w:hAnsi="Times New Roman"/>
          <w:bCs/>
          <w:sz w:val="24"/>
          <w:szCs w:val="24"/>
        </w:rPr>
      </w:pPr>
      <w:r>
        <w:rPr>
          <w:rFonts w:ascii="Times New Roman" w:hAnsi="Times New Roman"/>
          <w:bCs/>
          <w:sz w:val="24"/>
          <w:szCs w:val="24"/>
        </w:rPr>
        <w:t>The doctrine of corporate personality enjoys universal recognition in the corporate legal framework across the universe.</w:t>
      </w:r>
      <w:r>
        <w:rPr>
          <w:rStyle w:val="FootnoteReference"/>
          <w:rFonts w:ascii="Times New Roman" w:hAnsi="Times New Roman"/>
          <w:bCs/>
          <w:sz w:val="24"/>
          <w:szCs w:val="24"/>
        </w:rPr>
        <w:footnoteReference w:id="1"/>
      </w:r>
      <w:r>
        <w:rPr>
          <w:rFonts w:ascii="Times New Roman" w:hAnsi="Times New Roman"/>
          <w:bCs/>
          <w:sz w:val="24"/>
          <w:szCs w:val="24"/>
        </w:rPr>
        <w:t xml:space="preserve"> This universal recognition does not exempt the prominent legal systems of Common Law</w:t>
      </w:r>
      <w:r>
        <w:rPr>
          <w:rStyle w:val="FootnoteReference"/>
          <w:rFonts w:ascii="Times New Roman" w:hAnsi="Times New Roman"/>
          <w:bCs/>
          <w:sz w:val="24"/>
          <w:szCs w:val="24"/>
        </w:rPr>
        <w:footnoteReference w:id="2"/>
      </w:r>
      <w:r>
        <w:rPr>
          <w:rFonts w:ascii="Times New Roman" w:hAnsi="Times New Roman"/>
          <w:bCs/>
          <w:sz w:val="24"/>
          <w:szCs w:val="24"/>
        </w:rPr>
        <w:t xml:space="preserve"> and </w:t>
      </w:r>
      <w:proofErr w:type="spellStart"/>
      <w:r>
        <w:rPr>
          <w:rFonts w:ascii="Times New Roman" w:hAnsi="Times New Roman"/>
          <w:bCs/>
          <w:sz w:val="24"/>
          <w:szCs w:val="24"/>
        </w:rPr>
        <w:t>Shari’ah</w:t>
      </w:r>
      <w:proofErr w:type="spellEnd"/>
      <w:r>
        <w:rPr>
          <w:rStyle w:val="FootnoteReference"/>
          <w:rFonts w:ascii="Times New Roman" w:hAnsi="Times New Roman"/>
          <w:bCs/>
          <w:sz w:val="24"/>
          <w:szCs w:val="24"/>
        </w:rPr>
        <w:footnoteReference w:id="3"/>
      </w:r>
      <w:r>
        <w:rPr>
          <w:rFonts w:ascii="Times New Roman" w:hAnsi="Times New Roman"/>
          <w:bCs/>
          <w:sz w:val="24"/>
          <w:szCs w:val="24"/>
        </w:rPr>
        <w:t xml:space="preserve"> in Nigerian legal </w:t>
      </w:r>
      <w:r w:rsidRPr="003D4603">
        <w:rPr>
          <w:rFonts w:ascii="Times New Roman" w:hAnsi="Times New Roman"/>
          <w:bCs/>
          <w:color w:val="000000" w:themeColor="text1"/>
          <w:sz w:val="24"/>
          <w:szCs w:val="24"/>
        </w:rPr>
        <w:t>systems</w:t>
      </w:r>
      <w:r>
        <w:rPr>
          <w:rFonts w:ascii="Times New Roman" w:hAnsi="Times New Roman"/>
          <w:bCs/>
          <w:sz w:val="24"/>
          <w:szCs w:val="24"/>
        </w:rPr>
        <w:t xml:space="preserve">. The Common Law which gives birth to the Nigerian corporate law </w:t>
      </w:r>
      <w:proofErr w:type="spellStart"/>
      <w:r w:rsidRPr="003D4603">
        <w:rPr>
          <w:rFonts w:ascii="Times New Roman" w:hAnsi="Times New Roman"/>
          <w:bCs/>
          <w:sz w:val="24"/>
          <w:szCs w:val="24"/>
        </w:rPr>
        <w:t>recognises</w:t>
      </w:r>
      <w:proofErr w:type="spellEnd"/>
      <w:r w:rsidRPr="00B03DE2">
        <w:rPr>
          <w:rFonts w:ascii="Times New Roman" w:hAnsi="Times New Roman"/>
          <w:bCs/>
          <w:color w:val="FF0000"/>
          <w:sz w:val="24"/>
          <w:szCs w:val="24"/>
        </w:rPr>
        <w:t xml:space="preserve"> </w:t>
      </w:r>
      <w:r>
        <w:rPr>
          <w:rFonts w:ascii="Times New Roman" w:hAnsi="Times New Roman"/>
          <w:bCs/>
          <w:sz w:val="24"/>
          <w:szCs w:val="24"/>
        </w:rPr>
        <w:t xml:space="preserve">the application of corporate personality being </w:t>
      </w:r>
      <w:r>
        <w:rPr>
          <w:rFonts w:ascii="Times New Roman" w:hAnsi="Times New Roman"/>
          <w:bCs/>
          <w:sz w:val="24"/>
          <w:szCs w:val="24"/>
        </w:rPr>
        <w:lastRenderedPageBreak/>
        <w:t xml:space="preserve">a concept springing </w:t>
      </w:r>
      <w:r w:rsidRPr="00B744A2">
        <w:rPr>
          <w:rFonts w:ascii="Times New Roman" w:hAnsi="Times New Roman"/>
          <w:bCs/>
          <w:sz w:val="24"/>
          <w:szCs w:val="24"/>
        </w:rPr>
        <w:t>from</w:t>
      </w:r>
      <w:r>
        <w:rPr>
          <w:rFonts w:ascii="Times New Roman" w:hAnsi="Times New Roman"/>
          <w:bCs/>
          <w:sz w:val="24"/>
          <w:szCs w:val="24"/>
        </w:rPr>
        <w:t xml:space="preserve"> human ingenuity to protect business ventures.</w:t>
      </w:r>
      <w:r>
        <w:rPr>
          <w:rStyle w:val="FootnoteReference"/>
          <w:rFonts w:ascii="Times New Roman" w:hAnsi="Times New Roman"/>
          <w:bCs/>
          <w:sz w:val="24"/>
          <w:szCs w:val="24"/>
        </w:rPr>
        <w:footnoteReference w:id="4"/>
      </w:r>
      <w:proofErr w:type="spellStart"/>
      <w:r>
        <w:rPr>
          <w:rFonts w:ascii="Times New Roman" w:hAnsi="Times New Roman"/>
          <w:bCs/>
          <w:i/>
          <w:iCs/>
          <w:sz w:val="24"/>
          <w:szCs w:val="24"/>
        </w:rPr>
        <w:t>Shari’ah</w:t>
      </w:r>
      <w:proofErr w:type="spellEnd"/>
      <w:r>
        <w:rPr>
          <w:rFonts w:ascii="Times New Roman" w:hAnsi="Times New Roman"/>
          <w:bCs/>
          <w:sz w:val="24"/>
          <w:szCs w:val="24"/>
        </w:rPr>
        <w:t xml:space="preserve"> presents different dimension to the recognition of the doctrine of corporate personality from divine perspective.</w:t>
      </w:r>
      <w:r>
        <w:rPr>
          <w:rStyle w:val="FootnoteReference"/>
          <w:rFonts w:ascii="Times New Roman" w:hAnsi="Times New Roman"/>
          <w:bCs/>
          <w:sz w:val="24"/>
          <w:szCs w:val="24"/>
        </w:rPr>
        <w:footnoteReference w:id="5"/>
      </w:r>
      <w:r>
        <w:rPr>
          <w:rFonts w:ascii="Times New Roman" w:hAnsi="Times New Roman"/>
          <w:bCs/>
          <w:sz w:val="24"/>
          <w:szCs w:val="24"/>
        </w:rPr>
        <w:t xml:space="preserve"> It is on the basis of this backdrop that this paper examines the application of the corporate personality doctrine in Nigeria from the perspectives of the Corporate Law and </w:t>
      </w:r>
      <w:proofErr w:type="spellStart"/>
      <w:r>
        <w:rPr>
          <w:rFonts w:ascii="Times New Roman" w:hAnsi="Times New Roman"/>
          <w:bCs/>
          <w:sz w:val="24"/>
          <w:szCs w:val="24"/>
        </w:rPr>
        <w:t>Shari’ah</w:t>
      </w:r>
      <w:proofErr w:type="spellEnd"/>
      <w:r>
        <w:rPr>
          <w:rFonts w:ascii="Times New Roman" w:hAnsi="Times New Roman"/>
          <w:bCs/>
          <w:sz w:val="24"/>
          <w:szCs w:val="24"/>
        </w:rPr>
        <w:t xml:space="preserve">.     </w:t>
      </w:r>
    </w:p>
    <w:p w:rsidR="00FD6A1D" w:rsidRDefault="00FD6A1D" w:rsidP="00FD6A1D">
      <w:pPr>
        <w:spacing w:after="0" w:line="360" w:lineRule="auto"/>
        <w:ind w:left="90" w:right="-63"/>
        <w:jc w:val="both"/>
        <w:rPr>
          <w:rFonts w:ascii="Times New Roman" w:hAnsi="Times New Roman"/>
          <w:b/>
          <w:sz w:val="24"/>
          <w:szCs w:val="24"/>
        </w:rPr>
      </w:pPr>
      <w:r>
        <w:rPr>
          <w:rFonts w:ascii="Times New Roman" w:hAnsi="Times New Roman"/>
          <w:b/>
          <w:sz w:val="24"/>
          <w:szCs w:val="24"/>
        </w:rPr>
        <w:t>2.</w:t>
      </w:r>
      <w:r>
        <w:rPr>
          <w:rFonts w:ascii="Times New Roman" w:hAnsi="Times New Roman"/>
          <w:b/>
          <w:sz w:val="24"/>
          <w:szCs w:val="24"/>
        </w:rPr>
        <w:tab/>
      </w:r>
      <w:r w:rsidRPr="003D4603">
        <w:rPr>
          <w:rFonts w:ascii="Times New Roman" w:hAnsi="Times New Roman"/>
          <w:b/>
          <w:sz w:val="24"/>
          <w:szCs w:val="24"/>
        </w:rPr>
        <w:t>Understanding Corporate Personality</w:t>
      </w:r>
      <w:r>
        <w:rPr>
          <w:rFonts w:ascii="Times New Roman" w:hAnsi="Times New Roman"/>
          <w:b/>
          <w:sz w:val="24"/>
          <w:szCs w:val="24"/>
        </w:rPr>
        <w:t xml:space="preserve"> </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Corporations are companies registered in compliance with the requirement of law.</w:t>
      </w:r>
      <w:r>
        <w:rPr>
          <w:rStyle w:val="FootnoteReference"/>
          <w:rFonts w:ascii="Times New Roman" w:hAnsi="Times New Roman"/>
          <w:sz w:val="24"/>
          <w:szCs w:val="24"/>
        </w:rPr>
        <w:footnoteReference w:id="6"/>
      </w:r>
      <w:r>
        <w:rPr>
          <w:rFonts w:ascii="Times New Roman" w:hAnsi="Times New Roman"/>
          <w:sz w:val="24"/>
          <w:szCs w:val="24"/>
        </w:rPr>
        <w:t xml:space="preserve"> Once a corporation is registered in accordance with the law, it becomes a body corporate or corporate entity or legal entity as the case may be.</w:t>
      </w:r>
      <w:r>
        <w:rPr>
          <w:rStyle w:val="FootnoteReference"/>
          <w:rFonts w:ascii="Times New Roman" w:hAnsi="Times New Roman"/>
          <w:sz w:val="24"/>
          <w:szCs w:val="24"/>
        </w:rPr>
        <w:footnoteReference w:id="7"/>
      </w:r>
      <w:r>
        <w:rPr>
          <w:rFonts w:ascii="Times New Roman" w:hAnsi="Times New Roman"/>
          <w:sz w:val="24"/>
          <w:szCs w:val="24"/>
        </w:rPr>
        <w:t xml:space="preserve"> Thus, corporate personality is the consequence of incorporation of a company after complying with the due process and procedures laid down by law.</w:t>
      </w:r>
      <w:r>
        <w:rPr>
          <w:rStyle w:val="FootnoteReference"/>
          <w:rFonts w:ascii="Times New Roman" w:hAnsi="Times New Roman"/>
          <w:sz w:val="24"/>
          <w:szCs w:val="24"/>
        </w:rPr>
        <w:footnoteReference w:id="8"/>
      </w:r>
      <w:r>
        <w:rPr>
          <w:rFonts w:ascii="Times New Roman" w:hAnsi="Times New Roman"/>
          <w:sz w:val="24"/>
          <w:szCs w:val="24"/>
        </w:rPr>
        <w:t xml:space="preserve"> The process of registering or floating a company is referred to as incorporation.</w:t>
      </w:r>
      <w:r>
        <w:rPr>
          <w:rStyle w:val="FootnoteReference"/>
          <w:rFonts w:ascii="Times New Roman" w:hAnsi="Times New Roman"/>
          <w:sz w:val="24"/>
          <w:szCs w:val="24"/>
        </w:rPr>
        <w:footnoteReference w:id="9"/>
      </w:r>
      <w:r>
        <w:rPr>
          <w:rFonts w:ascii="Times New Roman" w:hAnsi="Times New Roman"/>
          <w:sz w:val="24"/>
          <w:szCs w:val="24"/>
        </w:rPr>
        <w:t xml:space="preserve"> That is why duly registered companies are referred to as incorporated companies.</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Corporate personality is therefore a status acquired by an incorporated company after incorporation.</w:t>
      </w:r>
      <w:r>
        <w:rPr>
          <w:rStyle w:val="FootnoteReference"/>
          <w:rFonts w:ascii="Times New Roman" w:hAnsi="Times New Roman"/>
          <w:sz w:val="24"/>
          <w:szCs w:val="24"/>
        </w:rPr>
        <w:footnoteReference w:id="10"/>
      </w:r>
      <w:r>
        <w:rPr>
          <w:rFonts w:ascii="Times New Roman" w:hAnsi="Times New Roman"/>
          <w:sz w:val="24"/>
          <w:szCs w:val="24"/>
        </w:rPr>
        <w:t xml:space="preserve"> The concept of corporate personality depicts that an incorporated company becomes an artificial person in eyes of the law which shares certain </w:t>
      </w:r>
      <w:r w:rsidRPr="003D4603">
        <w:rPr>
          <w:rFonts w:ascii="Times New Roman" w:hAnsi="Times New Roman"/>
          <w:sz w:val="24"/>
          <w:szCs w:val="24"/>
        </w:rPr>
        <w:t>features</w:t>
      </w:r>
      <w:r w:rsidRPr="00B03DE2">
        <w:rPr>
          <w:rFonts w:ascii="Times New Roman" w:hAnsi="Times New Roman"/>
          <w:color w:val="FF0000"/>
          <w:sz w:val="24"/>
          <w:szCs w:val="24"/>
        </w:rPr>
        <w:t xml:space="preserve"> </w:t>
      </w:r>
      <w:r>
        <w:rPr>
          <w:rFonts w:ascii="Times New Roman" w:hAnsi="Times New Roman"/>
          <w:sz w:val="24"/>
          <w:szCs w:val="24"/>
        </w:rPr>
        <w:t>with natural persons.</w:t>
      </w:r>
      <w:r>
        <w:rPr>
          <w:rStyle w:val="FootnoteReference"/>
          <w:rFonts w:ascii="Times New Roman" w:hAnsi="Times New Roman"/>
          <w:sz w:val="24"/>
          <w:szCs w:val="24"/>
        </w:rPr>
        <w:footnoteReference w:id="11"/>
      </w:r>
      <w:r>
        <w:rPr>
          <w:rFonts w:ascii="Times New Roman" w:hAnsi="Times New Roman"/>
          <w:sz w:val="24"/>
          <w:szCs w:val="24"/>
        </w:rPr>
        <w:t xml:space="preserve"> As a matter of law, a corporation is an artificial person different from the natural persons who are its members, directors and employees. By the doctrine of corporate personality, the law created an artificial person which has possessory right, existence right and legal capacity right, among </w:t>
      </w:r>
      <w:r w:rsidRPr="003D4603">
        <w:rPr>
          <w:rFonts w:ascii="Times New Roman" w:hAnsi="Times New Roman"/>
          <w:sz w:val="24"/>
          <w:szCs w:val="24"/>
        </w:rPr>
        <w:t>others</w:t>
      </w:r>
      <w:r w:rsidRPr="00B03DE2">
        <w:rPr>
          <w:rFonts w:ascii="Times New Roman" w:hAnsi="Times New Roman"/>
          <w:color w:val="FF0000"/>
          <w:sz w:val="24"/>
          <w:szCs w:val="24"/>
        </w:rPr>
        <w:t xml:space="preserve"> </w:t>
      </w:r>
      <w:r>
        <w:rPr>
          <w:rFonts w:ascii="Times New Roman" w:hAnsi="Times New Roman"/>
          <w:sz w:val="24"/>
          <w:szCs w:val="24"/>
        </w:rPr>
        <w:t>like natural persons.</w:t>
      </w:r>
      <w:r>
        <w:rPr>
          <w:rStyle w:val="FootnoteReference"/>
          <w:rFonts w:ascii="Times New Roman" w:hAnsi="Times New Roman"/>
          <w:sz w:val="24"/>
          <w:szCs w:val="24"/>
        </w:rPr>
        <w:footnoteReference w:id="12"/>
      </w:r>
      <w:r>
        <w:rPr>
          <w:rFonts w:ascii="Times New Roman" w:hAnsi="Times New Roman"/>
          <w:sz w:val="24"/>
          <w:szCs w:val="24"/>
        </w:rPr>
        <w:t xml:space="preserve"> The essence of this is to enable the corporation function maximally without interference in its corporate existence.</w:t>
      </w:r>
      <w:r>
        <w:rPr>
          <w:rStyle w:val="FootnoteReference"/>
          <w:rFonts w:ascii="Times New Roman" w:hAnsi="Times New Roman"/>
          <w:sz w:val="24"/>
          <w:szCs w:val="24"/>
        </w:rPr>
        <w:footnoteReference w:id="13"/>
      </w:r>
      <w:r>
        <w:rPr>
          <w:rFonts w:ascii="Times New Roman" w:hAnsi="Times New Roman"/>
          <w:sz w:val="24"/>
          <w:szCs w:val="24"/>
        </w:rPr>
        <w:t xml:space="preserve"> It also provides a safe avenue for sincere business tycoons for </w:t>
      </w:r>
      <w:r w:rsidRPr="003D4603">
        <w:rPr>
          <w:rFonts w:ascii="Times New Roman" w:hAnsi="Times New Roman"/>
          <w:sz w:val="24"/>
          <w:szCs w:val="24"/>
        </w:rPr>
        <w:t>the</w:t>
      </w:r>
      <w:r>
        <w:rPr>
          <w:rFonts w:ascii="Times New Roman" w:hAnsi="Times New Roman"/>
          <w:sz w:val="24"/>
          <w:szCs w:val="24"/>
        </w:rPr>
        <w:t xml:space="preserve"> protection of investment from unforeseen risks associated with business.</w:t>
      </w:r>
      <w:r>
        <w:rPr>
          <w:rStyle w:val="FootnoteReference"/>
          <w:rFonts w:ascii="Times New Roman" w:hAnsi="Times New Roman"/>
          <w:sz w:val="24"/>
          <w:szCs w:val="24"/>
        </w:rPr>
        <w:footnoteReference w:id="14"/>
      </w:r>
      <w:r>
        <w:rPr>
          <w:rFonts w:ascii="Times New Roman" w:hAnsi="Times New Roman"/>
          <w:sz w:val="24"/>
          <w:szCs w:val="24"/>
        </w:rPr>
        <w:t xml:space="preserve"> Corporate </w:t>
      </w:r>
      <w:r>
        <w:rPr>
          <w:rFonts w:ascii="Times New Roman" w:hAnsi="Times New Roman"/>
          <w:sz w:val="24"/>
          <w:szCs w:val="24"/>
        </w:rPr>
        <w:lastRenderedPageBreak/>
        <w:t xml:space="preserve">personality doctrine thus implies that a corporation is an artificial person that exists in abstraction but solely depends on its human </w:t>
      </w:r>
      <w:r w:rsidRPr="003D4603">
        <w:rPr>
          <w:rFonts w:ascii="Times New Roman" w:hAnsi="Times New Roman"/>
          <w:sz w:val="24"/>
          <w:szCs w:val="24"/>
        </w:rPr>
        <w:t>agents</w:t>
      </w:r>
      <w:r>
        <w:rPr>
          <w:rStyle w:val="FootnoteReference"/>
          <w:rFonts w:ascii="Times New Roman" w:hAnsi="Times New Roman"/>
          <w:sz w:val="24"/>
          <w:szCs w:val="24"/>
        </w:rPr>
        <w:footnoteReference w:id="15"/>
      </w:r>
      <w:r>
        <w:rPr>
          <w:rFonts w:ascii="Times New Roman" w:hAnsi="Times New Roman"/>
          <w:sz w:val="24"/>
          <w:szCs w:val="24"/>
        </w:rPr>
        <w:t xml:space="preserve"> for its rights, duties and obligations under the law.</w:t>
      </w:r>
      <w:r>
        <w:rPr>
          <w:rStyle w:val="FootnoteReference"/>
          <w:rFonts w:ascii="Times New Roman" w:hAnsi="Times New Roman"/>
          <w:sz w:val="24"/>
          <w:szCs w:val="24"/>
        </w:rPr>
        <w:footnoteReference w:id="16"/>
      </w:r>
      <w:r>
        <w:rPr>
          <w:rFonts w:ascii="Times New Roman" w:hAnsi="Times New Roman"/>
          <w:sz w:val="24"/>
          <w:szCs w:val="24"/>
        </w:rPr>
        <w:t xml:space="preserve"> The fact that the corporation inevitably depends on its human agents does not mean that it is not different from them. In law, a duly registered corporation is separate and distinct from its human agents that formed it.</w:t>
      </w:r>
      <w:r>
        <w:rPr>
          <w:rStyle w:val="FootnoteReference"/>
          <w:rFonts w:ascii="Times New Roman" w:hAnsi="Times New Roman"/>
          <w:sz w:val="24"/>
          <w:szCs w:val="24"/>
        </w:rPr>
        <w:footnoteReference w:id="17"/>
      </w:r>
      <w:r>
        <w:rPr>
          <w:rFonts w:ascii="Times New Roman" w:hAnsi="Times New Roman"/>
          <w:sz w:val="24"/>
          <w:szCs w:val="24"/>
        </w:rPr>
        <w:t xml:space="preserve"> Little wonder a corporate person in law is a body corporate distinct from the individual that formed it thereby having perpetual succession, can sue and be sued, can enter into contract with any person, can own land, can make profit, can make loss </w:t>
      </w:r>
      <w:r w:rsidRPr="003D4603">
        <w:rPr>
          <w:rFonts w:ascii="Times New Roman" w:hAnsi="Times New Roman"/>
          <w:sz w:val="24"/>
          <w:szCs w:val="24"/>
        </w:rPr>
        <w:t>and so on</w:t>
      </w:r>
      <w:r>
        <w:rPr>
          <w:rFonts w:ascii="Times New Roman" w:hAnsi="Times New Roman"/>
          <w:sz w:val="24"/>
          <w:szCs w:val="24"/>
        </w:rPr>
        <w:t>.</w:t>
      </w:r>
      <w:r>
        <w:rPr>
          <w:rStyle w:val="FootnoteReference"/>
          <w:rFonts w:ascii="Times New Roman" w:hAnsi="Times New Roman"/>
          <w:sz w:val="24"/>
          <w:szCs w:val="24"/>
        </w:rPr>
        <w:footnoteReference w:id="18"/>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The law regulating the corporate status of corporation is as dictated by the Nigerian legal system which is unique in nature. Every country has its unique separate legal system though </w:t>
      </w:r>
      <w:r w:rsidRPr="003D4603">
        <w:rPr>
          <w:rFonts w:ascii="Times New Roman" w:hAnsi="Times New Roman"/>
          <w:sz w:val="24"/>
          <w:szCs w:val="24"/>
        </w:rPr>
        <w:t>may be</w:t>
      </w:r>
      <w:r>
        <w:rPr>
          <w:rFonts w:ascii="Times New Roman" w:hAnsi="Times New Roman"/>
          <w:sz w:val="24"/>
          <w:szCs w:val="24"/>
        </w:rPr>
        <w:t xml:space="preserve"> similar in content and application. Thus, the Nigerian legal system prides itself with its tripartite nature.</w:t>
      </w:r>
      <w:r>
        <w:rPr>
          <w:rStyle w:val="FootnoteReference"/>
          <w:rFonts w:ascii="Times New Roman" w:hAnsi="Times New Roman"/>
          <w:sz w:val="24"/>
          <w:szCs w:val="24"/>
        </w:rPr>
        <w:footnoteReference w:id="19"/>
      </w:r>
      <w:r>
        <w:rPr>
          <w:rFonts w:ascii="Times New Roman" w:hAnsi="Times New Roman"/>
          <w:sz w:val="24"/>
          <w:szCs w:val="24"/>
        </w:rPr>
        <w:t xml:space="preserve"> This is because, it comprises of three (3) district legal systems although one of them enjoys dominance over the other two legal systems.</w:t>
      </w:r>
      <w:r>
        <w:rPr>
          <w:rStyle w:val="FootnoteReference"/>
          <w:rFonts w:ascii="Times New Roman" w:hAnsi="Times New Roman"/>
          <w:sz w:val="24"/>
          <w:szCs w:val="24"/>
        </w:rPr>
        <w:footnoteReference w:id="20"/>
      </w:r>
      <w:r>
        <w:rPr>
          <w:rFonts w:ascii="Times New Roman" w:hAnsi="Times New Roman"/>
          <w:sz w:val="24"/>
          <w:szCs w:val="24"/>
        </w:rPr>
        <w:t xml:space="preserve"> This is definitely not to say that the dominant legal system is superior to the other two.</w:t>
      </w:r>
      <w:r>
        <w:rPr>
          <w:rStyle w:val="FootnoteReference"/>
          <w:rFonts w:ascii="Times New Roman" w:hAnsi="Times New Roman"/>
          <w:sz w:val="24"/>
          <w:szCs w:val="24"/>
        </w:rPr>
        <w:footnoteReference w:id="21"/>
      </w:r>
      <w:r>
        <w:rPr>
          <w:rFonts w:ascii="Times New Roman" w:hAnsi="Times New Roman"/>
          <w:sz w:val="24"/>
          <w:szCs w:val="24"/>
        </w:rPr>
        <w:t xml:space="preserve"> The Nigeria legal system undoubtedly comprised </w:t>
      </w:r>
      <w:r w:rsidRPr="003D4603">
        <w:rPr>
          <w:rFonts w:ascii="Times New Roman" w:hAnsi="Times New Roman"/>
          <w:sz w:val="24"/>
          <w:szCs w:val="24"/>
        </w:rPr>
        <w:t>of</w:t>
      </w:r>
      <w:r>
        <w:rPr>
          <w:rFonts w:ascii="Times New Roman" w:hAnsi="Times New Roman"/>
          <w:sz w:val="24"/>
          <w:szCs w:val="24"/>
        </w:rPr>
        <w:t xml:space="preserve"> the Received English Common Law,</w:t>
      </w:r>
      <w:r w:rsidRPr="00F15073">
        <w:rPr>
          <w:rFonts w:ascii="Times New Roman" w:hAnsi="Times New Roman"/>
          <w:color w:val="FF0000"/>
          <w:sz w:val="24"/>
          <w:szCs w:val="24"/>
        </w:rPr>
        <w:t xml:space="preserve"> </w:t>
      </w:r>
      <w:r>
        <w:rPr>
          <w:rFonts w:ascii="Times New Roman" w:hAnsi="Times New Roman"/>
          <w:sz w:val="24"/>
          <w:szCs w:val="24"/>
        </w:rPr>
        <w:t>Customary Law and the Islamic Law. The common law enjoys dominance in terms of application in Nigeria as a result of the colonial history of the nation.</w:t>
      </w:r>
      <w:r>
        <w:rPr>
          <w:rStyle w:val="FootnoteReference"/>
          <w:rFonts w:ascii="Times New Roman" w:hAnsi="Times New Roman"/>
          <w:sz w:val="24"/>
          <w:szCs w:val="24"/>
        </w:rPr>
        <w:footnoteReference w:id="22"/>
      </w:r>
      <w:r>
        <w:rPr>
          <w:rFonts w:ascii="Times New Roman" w:hAnsi="Times New Roman"/>
          <w:sz w:val="24"/>
          <w:szCs w:val="24"/>
        </w:rPr>
        <w:t xml:space="preserve"> Islamic law and customary law as the other two components of Nigeria legal systems are separate and district from each other which are also unique in their applications amongst the adherents of Islamic law and customary law respectively.</w:t>
      </w:r>
      <w:r>
        <w:rPr>
          <w:rStyle w:val="FootnoteReference"/>
          <w:rFonts w:ascii="Times New Roman" w:hAnsi="Times New Roman"/>
          <w:sz w:val="24"/>
          <w:szCs w:val="24"/>
        </w:rPr>
        <w:footnoteReference w:id="23"/>
      </w:r>
      <w:r>
        <w:rPr>
          <w:rFonts w:ascii="Times New Roman" w:hAnsi="Times New Roman"/>
          <w:sz w:val="24"/>
          <w:szCs w:val="24"/>
        </w:rPr>
        <w:t xml:space="preserve"> With respect to the practical application of the </w:t>
      </w:r>
      <w:r>
        <w:rPr>
          <w:rFonts w:ascii="Times New Roman" w:hAnsi="Times New Roman"/>
          <w:sz w:val="24"/>
          <w:szCs w:val="24"/>
        </w:rPr>
        <w:lastRenderedPageBreak/>
        <w:t xml:space="preserve">corporate personality doctrine in Nigeria, focus shall be placed on the Nigerian corporate law and </w:t>
      </w:r>
      <w:proofErr w:type="spellStart"/>
      <w:r>
        <w:rPr>
          <w:rFonts w:ascii="Times New Roman" w:hAnsi="Times New Roman"/>
          <w:i/>
          <w:iCs/>
          <w:sz w:val="24"/>
          <w:szCs w:val="24"/>
        </w:rPr>
        <w:t>Shari’ah</w:t>
      </w:r>
      <w:proofErr w:type="spellEnd"/>
      <w:r>
        <w:rPr>
          <w:rFonts w:ascii="Times New Roman" w:hAnsi="Times New Roman"/>
          <w:sz w:val="24"/>
          <w:szCs w:val="24"/>
        </w:rPr>
        <w:t>.</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Nigerian corporate law is an offshoot of the Received Common Law in Nigeria. The specific aspect of the Common Law governing Corporate Law in </w:t>
      </w:r>
      <w:r w:rsidRPr="003D4603">
        <w:rPr>
          <w:rFonts w:ascii="Times New Roman" w:hAnsi="Times New Roman"/>
          <w:sz w:val="24"/>
          <w:szCs w:val="24"/>
        </w:rPr>
        <w:t>the</w:t>
      </w:r>
      <w:r>
        <w:rPr>
          <w:rFonts w:ascii="Times New Roman" w:hAnsi="Times New Roman"/>
          <w:sz w:val="24"/>
          <w:szCs w:val="24"/>
        </w:rPr>
        <w:t xml:space="preserve"> country is the Companies and Allied Matters Act, (CAMA), 2020.</w:t>
      </w:r>
      <w:r>
        <w:rPr>
          <w:rStyle w:val="FootnoteReference"/>
          <w:rFonts w:ascii="Times New Roman" w:hAnsi="Times New Roman"/>
          <w:sz w:val="24"/>
          <w:szCs w:val="24"/>
        </w:rPr>
        <w:footnoteReference w:id="24"/>
      </w:r>
      <w:r>
        <w:rPr>
          <w:rFonts w:ascii="Times New Roman" w:hAnsi="Times New Roman"/>
          <w:sz w:val="24"/>
          <w:szCs w:val="24"/>
        </w:rPr>
        <w:t xml:space="preserve"> CAMA 2020 is divided into seven parts.</w:t>
      </w:r>
      <w:r>
        <w:rPr>
          <w:rStyle w:val="FootnoteReference"/>
          <w:rFonts w:ascii="Times New Roman" w:hAnsi="Times New Roman"/>
          <w:sz w:val="24"/>
          <w:szCs w:val="24"/>
        </w:rPr>
        <w:footnoteReference w:id="25"/>
      </w:r>
      <w:r>
        <w:rPr>
          <w:rFonts w:ascii="Times New Roman" w:hAnsi="Times New Roman"/>
          <w:sz w:val="24"/>
          <w:szCs w:val="24"/>
        </w:rPr>
        <w:t xml:space="preserve"> However, Part ‘B’ deals with incorporation of companies and incidental matters. The relevant section in Part ‘B’ is section 42 which clothes the duly registered corporations with personalities that possess certain rights, duties and obligation like natural persons.</w:t>
      </w:r>
      <w:r>
        <w:rPr>
          <w:rStyle w:val="FootnoteReference"/>
          <w:rFonts w:ascii="Times New Roman" w:hAnsi="Times New Roman"/>
          <w:sz w:val="24"/>
          <w:szCs w:val="24"/>
        </w:rPr>
        <w:footnoteReference w:id="26"/>
      </w:r>
    </w:p>
    <w:p w:rsidR="00FD6A1D" w:rsidRPr="00481F1F" w:rsidRDefault="00FD6A1D" w:rsidP="00FD6A1D">
      <w:pPr>
        <w:spacing w:line="360" w:lineRule="auto"/>
        <w:ind w:left="90" w:right="-63"/>
        <w:jc w:val="both"/>
        <w:rPr>
          <w:rFonts w:ascii="Times New Roman" w:hAnsi="Times New Roman"/>
          <w:sz w:val="24"/>
          <w:szCs w:val="24"/>
        </w:rPr>
      </w:pPr>
      <w:r w:rsidRPr="003D4603">
        <w:rPr>
          <w:rFonts w:ascii="Times New Roman" w:hAnsi="Times New Roman"/>
          <w:iCs/>
          <w:sz w:val="24"/>
          <w:szCs w:val="24"/>
        </w:rPr>
        <w:t>On the other hand,</w:t>
      </w:r>
      <w:r>
        <w:rPr>
          <w:rFonts w:ascii="Times New Roman" w:hAnsi="Times New Roman"/>
          <w:i/>
          <w:iCs/>
          <w:sz w:val="24"/>
          <w:szCs w:val="24"/>
        </w:rPr>
        <w:t xml:space="preserve"> </w:t>
      </w:r>
      <w:proofErr w:type="spellStart"/>
      <w:r>
        <w:rPr>
          <w:rFonts w:ascii="Times New Roman" w:hAnsi="Times New Roman"/>
          <w:i/>
          <w:iCs/>
          <w:sz w:val="24"/>
          <w:szCs w:val="24"/>
        </w:rPr>
        <w:t>Shari’ah</w:t>
      </w:r>
      <w:proofErr w:type="spellEnd"/>
      <w:r>
        <w:rPr>
          <w:rFonts w:ascii="Times New Roman" w:hAnsi="Times New Roman"/>
          <w:sz w:val="24"/>
          <w:szCs w:val="24"/>
        </w:rPr>
        <w:t xml:space="preserve"> is a divine law from the Allah SWT sent through Prophet Muhammad Ibn Abdullah (SAW) to all mankind.</w:t>
      </w:r>
      <w:r>
        <w:rPr>
          <w:rStyle w:val="FootnoteReference"/>
          <w:rFonts w:ascii="Times New Roman" w:hAnsi="Times New Roman"/>
          <w:sz w:val="24"/>
          <w:szCs w:val="24"/>
        </w:rPr>
        <w:footnoteReference w:id="27"/>
      </w:r>
      <w:r>
        <w:rPr>
          <w:rFonts w:ascii="Times New Roman" w:hAnsi="Times New Roman"/>
          <w:sz w:val="24"/>
          <w:szCs w:val="24"/>
        </w:rPr>
        <w:t xml:space="preserve"> </w:t>
      </w:r>
      <w:r w:rsidRPr="003D4603">
        <w:rPr>
          <w:rFonts w:ascii="Times New Roman" w:hAnsi="Times New Roman"/>
          <w:sz w:val="24"/>
          <w:szCs w:val="24"/>
        </w:rPr>
        <w:t>Originally, Qur’an and Hadith are the primary sources of</w:t>
      </w:r>
      <w:r>
        <w:rPr>
          <w:rFonts w:ascii="Times New Roman" w:hAnsi="Times New Roman"/>
          <w:sz w:val="24"/>
          <w:szCs w:val="24"/>
        </w:rPr>
        <w:t xml:space="preserve"> </w:t>
      </w:r>
      <w:proofErr w:type="spellStart"/>
      <w:r>
        <w:rPr>
          <w:rFonts w:ascii="Times New Roman" w:hAnsi="Times New Roman"/>
          <w:i/>
          <w:iCs/>
          <w:sz w:val="24"/>
          <w:szCs w:val="24"/>
        </w:rPr>
        <w:t>Shari’ah</w:t>
      </w:r>
      <w:proofErr w:type="spellEnd"/>
      <w:r>
        <w:rPr>
          <w:rFonts w:ascii="Times New Roman" w:hAnsi="Times New Roman"/>
          <w:i/>
          <w:iCs/>
          <w:sz w:val="24"/>
          <w:szCs w:val="24"/>
        </w:rPr>
        <w:t>.</w:t>
      </w:r>
      <w:r>
        <w:rPr>
          <w:rStyle w:val="FootnoteReference"/>
          <w:rFonts w:ascii="Times New Roman" w:hAnsi="Times New Roman"/>
          <w:sz w:val="24"/>
          <w:szCs w:val="24"/>
        </w:rPr>
        <w:footnoteReference w:id="28"/>
      </w:r>
      <w:proofErr w:type="spellStart"/>
      <w:r>
        <w:rPr>
          <w:rFonts w:ascii="Times New Roman" w:hAnsi="Times New Roman"/>
          <w:i/>
          <w:iCs/>
          <w:sz w:val="24"/>
          <w:szCs w:val="24"/>
        </w:rPr>
        <w:t>Ijma’a</w:t>
      </w:r>
      <w:proofErr w:type="spellEnd"/>
      <w:r>
        <w:rPr>
          <w:rFonts w:ascii="Times New Roman" w:hAnsi="Times New Roman"/>
          <w:sz w:val="24"/>
          <w:szCs w:val="24"/>
        </w:rPr>
        <w:t xml:space="preserve"> and </w:t>
      </w:r>
      <w:proofErr w:type="spellStart"/>
      <w:r>
        <w:rPr>
          <w:rFonts w:ascii="Times New Roman" w:hAnsi="Times New Roman"/>
          <w:i/>
          <w:iCs/>
          <w:sz w:val="24"/>
          <w:szCs w:val="24"/>
        </w:rPr>
        <w:t>Qiyas</w:t>
      </w:r>
      <w:proofErr w:type="spellEnd"/>
      <w:r>
        <w:rPr>
          <w:rFonts w:ascii="Times New Roman" w:hAnsi="Times New Roman"/>
          <w:sz w:val="24"/>
          <w:szCs w:val="24"/>
        </w:rPr>
        <w:t xml:space="preserve"> are among secondary sources of </w:t>
      </w:r>
      <w:proofErr w:type="spellStart"/>
      <w:r>
        <w:rPr>
          <w:rFonts w:ascii="Times New Roman" w:hAnsi="Times New Roman"/>
          <w:i/>
          <w:iCs/>
          <w:sz w:val="24"/>
          <w:szCs w:val="24"/>
        </w:rPr>
        <w:t>Shari’ah</w:t>
      </w:r>
      <w:proofErr w:type="spellEnd"/>
      <w:r>
        <w:rPr>
          <w:rFonts w:ascii="Times New Roman" w:hAnsi="Times New Roman"/>
          <w:sz w:val="24"/>
          <w:szCs w:val="24"/>
        </w:rPr>
        <w:t>.</w:t>
      </w:r>
      <w:r>
        <w:rPr>
          <w:rStyle w:val="FootnoteReference"/>
          <w:rFonts w:ascii="Times New Roman" w:hAnsi="Times New Roman"/>
          <w:sz w:val="24"/>
          <w:szCs w:val="24"/>
        </w:rPr>
        <w:footnoteReference w:id="29"/>
      </w:r>
      <w:r>
        <w:rPr>
          <w:rFonts w:ascii="Times New Roman" w:hAnsi="Times New Roman"/>
          <w:sz w:val="24"/>
          <w:szCs w:val="24"/>
        </w:rPr>
        <w:t xml:space="preserve"> </w:t>
      </w:r>
    </w:p>
    <w:p w:rsidR="00FD6A1D" w:rsidRDefault="00FD6A1D" w:rsidP="00FD6A1D">
      <w:pPr>
        <w:spacing w:after="0" w:line="360" w:lineRule="auto"/>
        <w:ind w:left="90" w:right="-63"/>
        <w:jc w:val="both"/>
        <w:rPr>
          <w:rFonts w:ascii="Times New Roman" w:hAnsi="Times New Roman"/>
          <w:b/>
          <w:sz w:val="24"/>
          <w:szCs w:val="24"/>
        </w:rPr>
      </w:pPr>
      <w:r w:rsidRPr="003D4603">
        <w:rPr>
          <w:rFonts w:ascii="Times New Roman" w:hAnsi="Times New Roman"/>
          <w:b/>
          <w:sz w:val="24"/>
          <w:szCs w:val="24"/>
        </w:rPr>
        <w:t>2.1.</w:t>
      </w:r>
      <w:r>
        <w:rPr>
          <w:rFonts w:ascii="Times New Roman" w:hAnsi="Times New Roman"/>
          <w:b/>
          <w:sz w:val="24"/>
          <w:szCs w:val="24"/>
        </w:rPr>
        <w:t xml:space="preserve"> Corporate Personality under Nigerian Corporate Law </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The coming into existence of a corporate person in Nigeria is principally regulated by the Companies and Allah Matters Act (CAMA), 2020 (as amended)</w:t>
      </w:r>
      <w:r w:rsidRPr="00EA3591">
        <w:rPr>
          <w:rStyle w:val="FootnoteReference"/>
          <w:rFonts w:ascii="Times New Roman" w:hAnsi="Times New Roman"/>
          <w:sz w:val="24"/>
          <w:szCs w:val="24"/>
        </w:rPr>
        <w:footnoteReference w:id="30"/>
      </w:r>
      <w:r>
        <w:rPr>
          <w:rFonts w:ascii="Times New Roman" w:hAnsi="Times New Roman"/>
          <w:sz w:val="24"/>
          <w:szCs w:val="24"/>
        </w:rPr>
        <w:t xml:space="preserve"> which is the country’s prominent corporate law. Pursuant to CAMA 2020, business tycoons desiring to venture into secured profitable business investment perceives incorporation of a company as the only option to enjoy legal protection.</w:t>
      </w:r>
      <w:r>
        <w:rPr>
          <w:rStyle w:val="FootnoteReference"/>
          <w:rFonts w:ascii="Times New Roman" w:hAnsi="Times New Roman"/>
          <w:sz w:val="24"/>
          <w:szCs w:val="24"/>
        </w:rPr>
        <w:footnoteReference w:id="31"/>
      </w:r>
      <w:r>
        <w:rPr>
          <w:rFonts w:ascii="Times New Roman" w:hAnsi="Times New Roman"/>
          <w:sz w:val="24"/>
          <w:szCs w:val="24"/>
        </w:rPr>
        <w:t xml:space="preserve"> Thus, the processes of registering or incorporating a company is like pregnancy stage of a natural person prior to birth. The consequential issuance of Certificate of Incorporation signifies the birth of</w:t>
      </w:r>
      <w:r w:rsidRPr="00EB04EC">
        <w:rPr>
          <w:rFonts w:ascii="Times New Roman" w:hAnsi="Times New Roman"/>
          <w:color w:val="FF0000"/>
          <w:sz w:val="24"/>
          <w:szCs w:val="24"/>
        </w:rPr>
        <w:t xml:space="preserve"> </w:t>
      </w:r>
      <w:r w:rsidRPr="003D4603">
        <w:rPr>
          <w:rFonts w:ascii="Times New Roman" w:hAnsi="Times New Roman"/>
          <w:sz w:val="24"/>
          <w:szCs w:val="24"/>
        </w:rPr>
        <w:t>a</w:t>
      </w:r>
      <w:r>
        <w:rPr>
          <w:rFonts w:ascii="Times New Roman" w:hAnsi="Times New Roman"/>
          <w:sz w:val="24"/>
          <w:szCs w:val="24"/>
        </w:rPr>
        <w:t xml:space="preserve"> corporate person just as the Certificate of Birth in the case of </w:t>
      </w:r>
      <w:r>
        <w:rPr>
          <w:rFonts w:ascii="Times New Roman" w:hAnsi="Times New Roman"/>
          <w:sz w:val="24"/>
          <w:szCs w:val="24"/>
        </w:rPr>
        <w:lastRenderedPageBreak/>
        <w:t>a natural person.</w:t>
      </w:r>
      <w:r>
        <w:rPr>
          <w:rStyle w:val="FootnoteReference"/>
          <w:rFonts w:ascii="Times New Roman" w:hAnsi="Times New Roman"/>
          <w:sz w:val="24"/>
          <w:szCs w:val="24"/>
        </w:rPr>
        <w:footnoteReference w:id="32"/>
      </w:r>
      <w:r>
        <w:rPr>
          <w:rFonts w:ascii="Times New Roman" w:hAnsi="Times New Roman"/>
          <w:sz w:val="24"/>
          <w:szCs w:val="24"/>
        </w:rPr>
        <w:t xml:space="preserve"> It is important to note that corporate personality under the Nigerian corporate law is regulated and sanctioned by the statute and case law. Under the statute, it is established that from the date of incorporation </w:t>
      </w:r>
      <w:r w:rsidRPr="00764D90">
        <w:rPr>
          <w:rFonts w:ascii="Times New Roman" w:hAnsi="Times New Roman"/>
          <w:sz w:val="24"/>
          <w:szCs w:val="24"/>
        </w:rPr>
        <w:t>and issuance of</w:t>
      </w:r>
      <w:r>
        <w:rPr>
          <w:rFonts w:ascii="Times New Roman" w:hAnsi="Times New Roman"/>
          <w:sz w:val="24"/>
          <w:szCs w:val="24"/>
        </w:rPr>
        <w:t xml:space="preserve"> the Certificate of Incorporation, the pioneer subscribers and the subsequent subscribers by the memorandum shall become a body corporate in line with the name contained in the memorandum.</w:t>
      </w:r>
      <w:r>
        <w:rPr>
          <w:rStyle w:val="FootnoteReference"/>
          <w:rFonts w:ascii="Times New Roman" w:hAnsi="Times New Roman"/>
          <w:sz w:val="24"/>
          <w:szCs w:val="24"/>
        </w:rPr>
        <w:footnoteReference w:id="33"/>
      </w:r>
      <w:r>
        <w:rPr>
          <w:rFonts w:ascii="Times New Roman" w:hAnsi="Times New Roman"/>
          <w:sz w:val="24"/>
          <w:szCs w:val="24"/>
        </w:rPr>
        <w:t xml:space="preserve"> The law gives the body corporate the capability to hold land, to have perpetual succession and a common seal among others. By the foregoing, it is clear that corporate persons otherwise referred to as artificial persons are creation of the statute.</w:t>
      </w:r>
      <w:r>
        <w:rPr>
          <w:rStyle w:val="FootnoteReference"/>
          <w:rFonts w:ascii="Times New Roman" w:hAnsi="Times New Roman"/>
          <w:sz w:val="24"/>
          <w:szCs w:val="24"/>
        </w:rPr>
        <w:footnoteReference w:id="34"/>
      </w:r>
      <w:r>
        <w:rPr>
          <w:rFonts w:ascii="Times New Roman" w:hAnsi="Times New Roman"/>
          <w:sz w:val="24"/>
          <w:szCs w:val="24"/>
        </w:rPr>
        <w:t xml:space="preserve"> The implication of their creations is that, upon registration, they become artificial persons, different and district from the individuals who are their members, directors, and employee as the case may be. More importantly, the corporate persons have all the powers of a natural person of full capacity with respect to the discharge of their objects in Memorandum.</w:t>
      </w:r>
      <w:r>
        <w:rPr>
          <w:rStyle w:val="FootnoteReference"/>
          <w:rFonts w:ascii="Times New Roman" w:hAnsi="Times New Roman"/>
          <w:sz w:val="24"/>
          <w:szCs w:val="24"/>
        </w:rPr>
        <w:footnoteReference w:id="35"/>
      </w:r>
    </w:p>
    <w:p w:rsidR="00FD6A1D" w:rsidRDefault="00FD6A1D" w:rsidP="00FD6A1D">
      <w:pPr>
        <w:pStyle w:val="FootnoteText"/>
        <w:spacing w:line="360" w:lineRule="auto"/>
        <w:ind w:left="90" w:right="-63"/>
        <w:jc w:val="both"/>
        <w:rPr>
          <w:rFonts w:ascii="Times New Roman" w:hAnsi="Times New Roman" w:cs="Times New Roman"/>
          <w:sz w:val="24"/>
          <w:szCs w:val="24"/>
        </w:rPr>
      </w:pPr>
      <w:r>
        <w:rPr>
          <w:rFonts w:ascii="Times New Roman" w:hAnsi="Times New Roman" w:cs="Times New Roman"/>
          <w:sz w:val="24"/>
          <w:szCs w:val="24"/>
        </w:rPr>
        <w:t xml:space="preserve">The position of the statute regarding the creation and existence of corporate personality is confirmed in a number of Nigerian case laws. Apart from the foreign locus </w:t>
      </w:r>
      <w:proofErr w:type="spellStart"/>
      <w:r>
        <w:rPr>
          <w:rFonts w:ascii="Times New Roman" w:hAnsi="Times New Roman" w:cs="Times New Roman"/>
          <w:sz w:val="24"/>
          <w:szCs w:val="24"/>
        </w:rPr>
        <w:t>classicus</w:t>
      </w:r>
      <w:proofErr w:type="spellEnd"/>
      <w:r>
        <w:rPr>
          <w:rFonts w:ascii="Times New Roman" w:hAnsi="Times New Roman" w:cs="Times New Roman"/>
          <w:sz w:val="24"/>
          <w:szCs w:val="24"/>
        </w:rPr>
        <w:t xml:space="preserve"> case on the doctrine and legal implication of corporate personality,</w:t>
      </w:r>
      <w:r>
        <w:rPr>
          <w:rStyle w:val="FootnoteReference"/>
          <w:rFonts w:ascii="Times New Roman" w:hAnsi="Times New Roman" w:cs="Times New Roman"/>
          <w:sz w:val="24"/>
          <w:szCs w:val="24"/>
        </w:rPr>
        <w:footnoteReference w:id="36"/>
      </w:r>
      <w:r>
        <w:rPr>
          <w:rFonts w:ascii="Times New Roman" w:hAnsi="Times New Roman" w:cs="Times New Roman"/>
          <w:sz w:val="24"/>
          <w:szCs w:val="24"/>
        </w:rPr>
        <w:t xml:space="preserve"> Nigerian judges have also provided reference points for the artificiality of corporate persons in a number of cases since the </w:t>
      </w:r>
      <w:r w:rsidRPr="00567C22">
        <w:rPr>
          <w:rFonts w:asciiTheme="majorBidi" w:hAnsiTheme="majorBidi" w:cstheme="majorBidi"/>
          <w:sz w:val="24"/>
          <w:szCs w:val="24"/>
        </w:rPr>
        <w:t>classical case of</w:t>
      </w:r>
      <w:r>
        <w:rPr>
          <w:rFonts w:asciiTheme="majorBidi" w:hAnsiTheme="majorBidi" w:cstheme="majorBidi"/>
          <w:sz w:val="24"/>
          <w:szCs w:val="24"/>
        </w:rPr>
        <w:t xml:space="preserve"> </w:t>
      </w:r>
      <w:r>
        <w:rPr>
          <w:rFonts w:ascii="Times New Roman" w:hAnsi="Times New Roman" w:cs="Times New Roman"/>
          <w:i/>
          <w:iCs/>
          <w:sz w:val="24"/>
          <w:szCs w:val="24"/>
        </w:rPr>
        <w:t xml:space="preserve">Salomon </w:t>
      </w:r>
      <w:r w:rsidRPr="003D4603">
        <w:rPr>
          <w:rFonts w:ascii="Times New Roman" w:hAnsi="Times New Roman" w:cs="Times New Roman"/>
          <w:i/>
          <w:iCs/>
          <w:sz w:val="24"/>
          <w:szCs w:val="24"/>
        </w:rPr>
        <w:t>v</w:t>
      </w:r>
      <w:r w:rsidRPr="00FC4F15">
        <w:rPr>
          <w:rFonts w:ascii="Times New Roman" w:hAnsi="Times New Roman" w:cs="Times New Roman"/>
          <w:i/>
          <w:iCs/>
          <w:sz w:val="24"/>
          <w:szCs w:val="24"/>
        </w:rPr>
        <w:t xml:space="preserve"> Salomon &amp; Co. Ltd</w:t>
      </w:r>
      <w:r w:rsidRPr="00FC4F15">
        <w:rPr>
          <w:rFonts w:ascii="Times New Roman" w:hAnsi="Times New Roman" w:cs="Times New Roman"/>
          <w:i/>
          <w:iCs/>
          <w:sz w:val="28"/>
          <w:szCs w:val="28"/>
        </w:rPr>
        <w:t>.</w:t>
      </w:r>
      <w:r w:rsidRPr="00DF7811">
        <w:rPr>
          <w:rStyle w:val="FootnoteReference"/>
          <w:rFonts w:ascii="Times New Roman" w:hAnsi="Times New Roman" w:cs="Times New Roman"/>
          <w:sz w:val="28"/>
          <w:szCs w:val="28"/>
        </w:rPr>
        <w:footnoteReference w:id="37"/>
      </w:r>
      <w:r>
        <w:rPr>
          <w:rFonts w:ascii="Times New Roman" w:hAnsi="Times New Roman" w:cs="Times New Roman"/>
          <w:sz w:val="24"/>
          <w:szCs w:val="24"/>
        </w:rPr>
        <w:t xml:space="preserve"> Few of those cases shall be considered.</w:t>
      </w:r>
    </w:p>
    <w:p w:rsidR="00FD6A1D" w:rsidRPr="00FC4F15" w:rsidRDefault="00FD6A1D" w:rsidP="00FD6A1D">
      <w:pPr>
        <w:pStyle w:val="FootnoteText"/>
        <w:ind w:left="90" w:right="-63"/>
        <w:jc w:val="both"/>
        <w:rPr>
          <w:rFonts w:ascii="Times New Roman" w:hAnsi="Times New Roman" w:cs="Times New Roman"/>
        </w:rPr>
      </w:pP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The Apex Court in Nigeria held in the case of </w:t>
      </w:r>
      <w:proofErr w:type="spellStart"/>
      <w:r>
        <w:rPr>
          <w:rFonts w:ascii="Times New Roman" w:hAnsi="Times New Roman"/>
          <w:i/>
          <w:iCs/>
          <w:sz w:val="24"/>
          <w:szCs w:val="24"/>
        </w:rPr>
        <w:t>Ayodele</w:t>
      </w:r>
      <w:proofErr w:type="spellEnd"/>
      <w:r>
        <w:rPr>
          <w:rFonts w:ascii="Times New Roman" w:hAnsi="Times New Roman"/>
          <w:i/>
          <w:iCs/>
          <w:sz w:val="24"/>
          <w:szCs w:val="24"/>
        </w:rPr>
        <w:t xml:space="preserve"> James </w:t>
      </w:r>
      <w:r w:rsidRPr="003D4603">
        <w:rPr>
          <w:rFonts w:ascii="Times New Roman" w:hAnsi="Times New Roman"/>
          <w:i/>
          <w:iCs/>
          <w:sz w:val="24"/>
          <w:szCs w:val="24"/>
        </w:rPr>
        <w:t>v</w:t>
      </w:r>
      <w:r>
        <w:rPr>
          <w:rFonts w:ascii="Times New Roman" w:hAnsi="Times New Roman"/>
          <w:i/>
          <w:iCs/>
          <w:sz w:val="24"/>
          <w:szCs w:val="24"/>
        </w:rPr>
        <w:t xml:space="preserve"> </w:t>
      </w:r>
      <w:proofErr w:type="spellStart"/>
      <w:r>
        <w:rPr>
          <w:rFonts w:ascii="Times New Roman" w:hAnsi="Times New Roman"/>
          <w:i/>
          <w:iCs/>
          <w:sz w:val="24"/>
          <w:szCs w:val="24"/>
        </w:rPr>
        <w:t>Midmotors</w:t>
      </w:r>
      <w:proofErr w:type="spellEnd"/>
      <w:r>
        <w:rPr>
          <w:rFonts w:ascii="Times New Roman" w:hAnsi="Times New Roman"/>
          <w:i/>
          <w:iCs/>
          <w:sz w:val="24"/>
          <w:szCs w:val="24"/>
        </w:rPr>
        <w:t xml:space="preserve"> </w:t>
      </w:r>
      <w:r w:rsidRPr="003D4603">
        <w:rPr>
          <w:rFonts w:ascii="Times New Roman" w:hAnsi="Times New Roman"/>
          <w:i/>
          <w:iCs/>
          <w:sz w:val="24"/>
          <w:szCs w:val="24"/>
        </w:rPr>
        <w:t>Ltd</w:t>
      </w:r>
      <w:r>
        <w:rPr>
          <w:rStyle w:val="FootnoteReference"/>
          <w:rFonts w:ascii="Times New Roman" w:hAnsi="Times New Roman"/>
          <w:sz w:val="24"/>
          <w:szCs w:val="24"/>
        </w:rPr>
        <w:footnoteReference w:id="38"/>
      </w:r>
      <w:r>
        <w:rPr>
          <w:rFonts w:ascii="Times New Roman" w:hAnsi="Times New Roman"/>
          <w:sz w:val="24"/>
          <w:szCs w:val="24"/>
        </w:rPr>
        <w:t xml:space="preserve"> that since corporation has attained the status of a person in the eyes of the law, it follows that it could be sued accordingly for the tortuous act of its human organ perpetrated in the course of employment.</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The case of </w:t>
      </w:r>
      <w:r>
        <w:rPr>
          <w:rFonts w:ascii="Times New Roman" w:hAnsi="Times New Roman"/>
          <w:i/>
          <w:iCs/>
          <w:sz w:val="24"/>
          <w:szCs w:val="24"/>
        </w:rPr>
        <w:t xml:space="preserve">Union Bank PLC </w:t>
      </w:r>
      <w:r w:rsidRPr="003D4603">
        <w:rPr>
          <w:rFonts w:ascii="Times New Roman" w:hAnsi="Times New Roman"/>
          <w:i/>
          <w:iCs/>
          <w:sz w:val="24"/>
          <w:szCs w:val="24"/>
        </w:rPr>
        <w:t>v</w:t>
      </w:r>
      <w:r>
        <w:rPr>
          <w:rFonts w:ascii="Times New Roman" w:hAnsi="Times New Roman"/>
          <w:i/>
          <w:iCs/>
          <w:sz w:val="24"/>
          <w:szCs w:val="24"/>
        </w:rPr>
        <w:t xml:space="preserve"> </w:t>
      </w:r>
      <w:proofErr w:type="spellStart"/>
      <w:r>
        <w:rPr>
          <w:rFonts w:ascii="Times New Roman" w:hAnsi="Times New Roman"/>
          <w:i/>
          <w:iCs/>
          <w:sz w:val="24"/>
          <w:szCs w:val="24"/>
        </w:rPr>
        <w:t>Orharuge</w:t>
      </w:r>
      <w:proofErr w:type="spellEnd"/>
      <w:r>
        <w:rPr>
          <w:rStyle w:val="FootnoteReference"/>
          <w:rFonts w:ascii="Times New Roman" w:hAnsi="Times New Roman"/>
          <w:sz w:val="24"/>
          <w:szCs w:val="24"/>
        </w:rPr>
        <w:footnoteReference w:id="39"/>
      </w:r>
      <w:r>
        <w:rPr>
          <w:rFonts w:ascii="Times New Roman" w:hAnsi="Times New Roman"/>
          <w:sz w:val="24"/>
          <w:szCs w:val="24"/>
        </w:rPr>
        <w:t xml:space="preserve"> was very emphatic when the Court held that once a company had been incorporated, it becomes a separate entity different from those who incorporated it and as such, there is no personal liability for any debts incurred by a company.</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lastRenderedPageBreak/>
        <w:t xml:space="preserve">In determining the liability for the debt incurred vide a contract entered into by a director on behalf of a company, the Court in </w:t>
      </w:r>
      <w:r>
        <w:rPr>
          <w:rFonts w:ascii="Times New Roman" w:hAnsi="Times New Roman"/>
          <w:i/>
          <w:iCs/>
          <w:sz w:val="24"/>
          <w:szCs w:val="24"/>
        </w:rPr>
        <w:t>Hyacinth Orji</w:t>
      </w:r>
      <w:r w:rsidRPr="00FA7E68">
        <w:rPr>
          <w:rFonts w:ascii="Times New Roman" w:hAnsi="Times New Roman"/>
          <w:i/>
          <w:iCs/>
          <w:color w:val="FF0000"/>
          <w:sz w:val="24"/>
          <w:szCs w:val="24"/>
        </w:rPr>
        <w:t xml:space="preserve"> </w:t>
      </w:r>
      <w:r w:rsidRPr="003D4603">
        <w:rPr>
          <w:rFonts w:ascii="Times New Roman" w:hAnsi="Times New Roman"/>
          <w:i/>
          <w:iCs/>
          <w:sz w:val="24"/>
          <w:szCs w:val="24"/>
        </w:rPr>
        <w:t>v</w:t>
      </w:r>
      <w:r>
        <w:rPr>
          <w:rFonts w:ascii="Times New Roman" w:hAnsi="Times New Roman"/>
          <w:i/>
          <w:iCs/>
          <w:sz w:val="24"/>
          <w:szCs w:val="24"/>
        </w:rPr>
        <w:t xml:space="preserve"> </w:t>
      </w:r>
      <w:proofErr w:type="spellStart"/>
      <w:r>
        <w:rPr>
          <w:rFonts w:ascii="Times New Roman" w:hAnsi="Times New Roman"/>
          <w:i/>
          <w:iCs/>
          <w:sz w:val="24"/>
          <w:szCs w:val="24"/>
        </w:rPr>
        <w:t>Ezeani</w:t>
      </w:r>
      <w:proofErr w:type="spellEnd"/>
      <w:r>
        <w:rPr>
          <w:rFonts w:ascii="Times New Roman" w:hAnsi="Times New Roman"/>
          <w:i/>
          <w:iCs/>
          <w:sz w:val="24"/>
          <w:szCs w:val="24"/>
        </w:rPr>
        <w:t xml:space="preserve"> </w:t>
      </w:r>
      <w:proofErr w:type="spellStart"/>
      <w:r>
        <w:rPr>
          <w:rFonts w:ascii="Times New Roman" w:hAnsi="Times New Roman"/>
          <w:i/>
          <w:iCs/>
          <w:sz w:val="24"/>
          <w:szCs w:val="24"/>
        </w:rPr>
        <w:t>Anyaso</w:t>
      </w:r>
      <w:proofErr w:type="spellEnd"/>
      <w:r>
        <w:rPr>
          <w:rStyle w:val="FootnoteReference"/>
          <w:rFonts w:ascii="Times New Roman" w:hAnsi="Times New Roman"/>
          <w:sz w:val="24"/>
          <w:szCs w:val="24"/>
        </w:rPr>
        <w:footnoteReference w:id="40"/>
      </w:r>
      <w:r w:rsidRPr="00CF2DBB">
        <w:rPr>
          <w:rFonts w:ascii="Times New Roman" w:hAnsi="Times New Roman"/>
          <w:sz w:val="24"/>
          <w:szCs w:val="24"/>
        </w:rPr>
        <w:t>s</w:t>
      </w:r>
      <w:r w:rsidRPr="00947805">
        <w:rPr>
          <w:rFonts w:ascii="Times New Roman" w:hAnsi="Times New Roman"/>
          <w:sz w:val="24"/>
          <w:szCs w:val="24"/>
        </w:rPr>
        <w:t>tated</w:t>
      </w:r>
      <w:r>
        <w:rPr>
          <w:rFonts w:ascii="Times New Roman" w:hAnsi="Times New Roman"/>
          <w:sz w:val="24"/>
          <w:szCs w:val="24"/>
        </w:rPr>
        <w:t xml:space="preserve"> that where a director of a company enters into contract in the name of the company, the director is not personally liable because the liability should be attributed to the company i.e. the principal.</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The foregoing positions were in-sighted by the clear </w:t>
      </w:r>
      <w:r>
        <w:rPr>
          <w:rFonts w:ascii="Times New Roman" w:hAnsi="Times New Roman"/>
          <w:i/>
          <w:iCs/>
          <w:sz w:val="24"/>
          <w:szCs w:val="24"/>
        </w:rPr>
        <w:t xml:space="preserve">ratio </w:t>
      </w:r>
      <w:proofErr w:type="spellStart"/>
      <w:r>
        <w:rPr>
          <w:rFonts w:ascii="Times New Roman" w:hAnsi="Times New Roman"/>
          <w:i/>
          <w:iCs/>
          <w:sz w:val="24"/>
          <w:szCs w:val="24"/>
        </w:rPr>
        <w:t>decidendi</w:t>
      </w:r>
      <w:proofErr w:type="spellEnd"/>
      <w:r>
        <w:rPr>
          <w:rStyle w:val="FootnoteReference"/>
          <w:rFonts w:ascii="Times New Roman" w:hAnsi="Times New Roman"/>
          <w:i/>
          <w:iCs/>
          <w:sz w:val="24"/>
          <w:szCs w:val="24"/>
        </w:rPr>
        <w:footnoteReference w:id="41"/>
      </w:r>
      <w:r>
        <w:rPr>
          <w:rFonts w:ascii="Times New Roman" w:hAnsi="Times New Roman"/>
          <w:sz w:val="24"/>
          <w:szCs w:val="24"/>
        </w:rPr>
        <w:t xml:space="preserve"> in the case of </w:t>
      </w:r>
      <w:proofErr w:type="spellStart"/>
      <w:r>
        <w:rPr>
          <w:rFonts w:ascii="Times New Roman" w:hAnsi="Times New Roman"/>
          <w:i/>
          <w:iCs/>
          <w:sz w:val="24"/>
          <w:szCs w:val="24"/>
        </w:rPr>
        <w:t>Trenco</w:t>
      </w:r>
      <w:proofErr w:type="spellEnd"/>
      <w:r>
        <w:rPr>
          <w:rFonts w:ascii="Times New Roman" w:hAnsi="Times New Roman"/>
          <w:i/>
          <w:iCs/>
          <w:sz w:val="24"/>
          <w:szCs w:val="24"/>
        </w:rPr>
        <w:t xml:space="preserve"> </w:t>
      </w:r>
      <w:r w:rsidRPr="003D4603">
        <w:rPr>
          <w:rFonts w:ascii="Times New Roman" w:hAnsi="Times New Roman"/>
          <w:i/>
          <w:iCs/>
          <w:sz w:val="24"/>
          <w:szCs w:val="24"/>
        </w:rPr>
        <w:t>(</w:t>
      </w:r>
      <w:proofErr w:type="spellStart"/>
      <w:r w:rsidRPr="003D4603">
        <w:rPr>
          <w:rFonts w:ascii="Times New Roman" w:hAnsi="Times New Roman"/>
          <w:i/>
          <w:iCs/>
          <w:sz w:val="24"/>
          <w:szCs w:val="24"/>
        </w:rPr>
        <w:t>Nig</w:t>
      </w:r>
      <w:proofErr w:type="spellEnd"/>
      <w:r w:rsidRPr="003D4603">
        <w:rPr>
          <w:rFonts w:ascii="Times New Roman" w:hAnsi="Times New Roman"/>
          <w:i/>
          <w:iCs/>
          <w:sz w:val="24"/>
          <w:szCs w:val="24"/>
        </w:rPr>
        <w:t>) Ltd v</w:t>
      </w:r>
      <w:r>
        <w:rPr>
          <w:rFonts w:ascii="Times New Roman" w:hAnsi="Times New Roman"/>
          <w:i/>
          <w:iCs/>
          <w:sz w:val="24"/>
          <w:szCs w:val="24"/>
        </w:rPr>
        <w:t xml:space="preserve"> African Real Estate </w:t>
      </w:r>
      <w:r w:rsidRPr="003D4603">
        <w:rPr>
          <w:rFonts w:ascii="Times New Roman" w:hAnsi="Times New Roman"/>
          <w:i/>
          <w:iCs/>
          <w:sz w:val="24"/>
          <w:szCs w:val="24"/>
        </w:rPr>
        <w:t>Ltd</w:t>
      </w:r>
      <w:r>
        <w:rPr>
          <w:rStyle w:val="FootnoteReference"/>
          <w:rFonts w:ascii="Times New Roman" w:hAnsi="Times New Roman"/>
          <w:sz w:val="24"/>
          <w:szCs w:val="24"/>
        </w:rPr>
        <w:footnoteReference w:id="42"/>
      </w:r>
      <w:r>
        <w:rPr>
          <w:rFonts w:ascii="Times New Roman" w:hAnsi="Times New Roman"/>
          <w:sz w:val="24"/>
          <w:szCs w:val="24"/>
        </w:rPr>
        <w:t xml:space="preserve"> that having regards to the corporate personality enjoyed by corporations, all operations and activities of corporations have to be inevitably carried out by the corporate human organs which in most cases are the corporate directors.</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The above showcases that both the statute and case law gave credence to the status and implication of the corporate personality of corporations in Nigeria. If corporations are artificial persons as created by the law, what then are their functions within the purview of the Nigeria Corporate law? </w:t>
      </w:r>
    </w:p>
    <w:p w:rsidR="00FD6A1D" w:rsidRDefault="00FD6A1D" w:rsidP="00FD6A1D">
      <w:pPr>
        <w:spacing w:after="0" w:line="360" w:lineRule="auto"/>
        <w:ind w:left="90" w:right="-63"/>
        <w:jc w:val="both"/>
        <w:rPr>
          <w:rFonts w:ascii="Times New Roman" w:hAnsi="Times New Roman"/>
          <w:sz w:val="24"/>
          <w:szCs w:val="24"/>
        </w:rPr>
      </w:pPr>
      <w:r w:rsidRPr="003D4603">
        <w:rPr>
          <w:rFonts w:ascii="Times New Roman" w:hAnsi="Times New Roman"/>
          <w:b/>
          <w:sz w:val="24"/>
          <w:szCs w:val="24"/>
        </w:rPr>
        <w:t>3.</w:t>
      </w:r>
      <w:r>
        <w:rPr>
          <w:rFonts w:ascii="Times New Roman" w:hAnsi="Times New Roman"/>
          <w:b/>
          <w:sz w:val="24"/>
          <w:szCs w:val="24"/>
        </w:rPr>
        <w:t xml:space="preserve"> Functions/Powers of Corporate Entities </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The law created corporate entities and bestowed on them certain powers and privileges that natural persons could have. These powers and privileges are encapsulated by the functions of the corporations in accordance with the law.</w:t>
      </w:r>
      <w:r>
        <w:rPr>
          <w:rStyle w:val="FootnoteReference"/>
          <w:rFonts w:ascii="Times New Roman" w:hAnsi="Times New Roman"/>
          <w:sz w:val="24"/>
          <w:szCs w:val="24"/>
        </w:rPr>
        <w:footnoteReference w:id="43"/>
      </w:r>
      <w:r>
        <w:rPr>
          <w:rFonts w:ascii="Times New Roman" w:hAnsi="Times New Roman"/>
          <w:sz w:val="24"/>
          <w:szCs w:val="24"/>
        </w:rPr>
        <w:t xml:space="preserve"> Though, the corporate entities inevitably depend on their human organs for the discharge of their functions, the functions once discharged under normal circumstances would be deemed as if they were performed by the corporations themselves.</w:t>
      </w:r>
      <w:r>
        <w:rPr>
          <w:rStyle w:val="FootnoteReference"/>
          <w:rFonts w:ascii="Times New Roman" w:hAnsi="Times New Roman"/>
          <w:sz w:val="24"/>
          <w:szCs w:val="24"/>
        </w:rPr>
        <w:footnoteReference w:id="44"/>
      </w:r>
      <w:r>
        <w:rPr>
          <w:rFonts w:ascii="Times New Roman" w:hAnsi="Times New Roman"/>
          <w:sz w:val="24"/>
          <w:szCs w:val="24"/>
        </w:rPr>
        <w:t xml:space="preserve"> Some of the functions of corporate entities are thus examined below.</w:t>
      </w:r>
    </w:p>
    <w:p w:rsidR="00FD6A1D" w:rsidRDefault="00FD6A1D" w:rsidP="00FD6A1D">
      <w:pPr>
        <w:spacing w:after="0" w:line="360" w:lineRule="auto"/>
        <w:ind w:left="90" w:right="-63"/>
        <w:jc w:val="both"/>
        <w:rPr>
          <w:rFonts w:ascii="Times New Roman" w:hAnsi="Times New Roman"/>
          <w:b/>
          <w:sz w:val="24"/>
          <w:szCs w:val="24"/>
        </w:rPr>
      </w:pPr>
      <w:proofErr w:type="spellStart"/>
      <w:r w:rsidRPr="003D4603">
        <w:rPr>
          <w:rFonts w:ascii="Times New Roman" w:hAnsi="Times New Roman"/>
          <w:b/>
          <w:sz w:val="24"/>
          <w:szCs w:val="24"/>
        </w:rPr>
        <w:t>i</w:t>
      </w:r>
      <w:proofErr w:type="spellEnd"/>
      <w:r w:rsidRPr="003D4603">
        <w:rPr>
          <w:rFonts w:ascii="Times New Roman" w:hAnsi="Times New Roman"/>
          <w:b/>
          <w:sz w:val="24"/>
          <w:szCs w:val="24"/>
        </w:rPr>
        <w:t>.</w:t>
      </w:r>
      <w:r>
        <w:rPr>
          <w:rFonts w:ascii="Times New Roman" w:hAnsi="Times New Roman"/>
          <w:b/>
          <w:sz w:val="24"/>
          <w:szCs w:val="24"/>
        </w:rPr>
        <w:t xml:space="preserve"> Entering into a Valid Contract </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Corporations have </w:t>
      </w:r>
      <w:r w:rsidRPr="000B175C">
        <w:rPr>
          <w:rFonts w:ascii="Times New Roman" w:hAnsi="Times New Roman"/>
          <w:sz w:val="24"/>
          <w:szCs w:val="24"/>
        </w:rPr>
        <w:t>capability and</w:t>
      </w:r>
      <w:r>
        <w:rPr>
          <w:rFonts w:ascii="Times New Roman" w:hAnsi="Times New Roman"/>
          <w:sz w:val="24"/>
          <w:szCs w:val="24"/>
        </w:rPr>
        <w:t xml:space="preserve"> capacity under the law to enter into a contract with any person(s) either a natural person </w:t>
      </w:r>
      <w:r w:rsidRPr="000B175C">
        <w:rPr>
          <w:rFonts w:ascii="Times New Roman" w:hAnsi="Times New Roman"/>
          <w:sz w:val="24"/>
          <w:szCs w:val="24"/>
        </w:rPr>
        <w:t>or</w:t>
      </w:r>
      <w:r>
        <w:rPr>
          <w:rFonts w:ascii="Times New Roman" w:hAnsi="Times New Roman"/>
          <w:sz w:val="24"/>
          <w:szCs w:val="24"/>
        </w:rPr>
        <w:t xml:space="preserve"> an artificial person like themselves. The nature of the contract can be in form of oral or written.</w:t>
      </w:r>
      <w:r>
        <w:rPr>
          <w:rStyle w:val="FootnoteReference"/>
          <w:rFonts w:ascii="Times New Roman" w:hAnsi="Times New Roman"/>
          <w:sz w:val="24"/>
          <w:szCs w:val="24"/>
        </w:rPr>
        <w:footnoteReference w:id="45"/>
      </w:r>
      <w:r>
        <w:rPr>
          <w:rFonts w:ascii="Times New Roman" w:hAnsi="Times New Roman"/>
          <w:sz w:val="24"/>
          <w:szCs w:val="24"/>
        </w:rPr>
        <w:t xml:space="preserve"> But for records and due diligence, the contract to be entered into by a </w:t>
      </w:r>
      <w:r>
        <w:rPr>
          <w:rFonts w:ascii="Times New Roman" w:hAnsi="Times New Roman"/>
          <w:sz w:val="24"/>
          <w:szCs w:val="24"/>
        </w:rPr>
        <w:lastRenderedPageBreak/>
        <w:t>corporation should be in written.</w:t>
      </w:r>
      <w:r>
        <w:rPr>
          <w:rStyle w:val="FootnoteReference"/>
          <w:rFonts w:ascii="Times New Roman" w:hAnsi="Times New Roman"/>
          <w:sz w:val="24"/>
          <w:szCs w:val="24"/>
        </w:rPr>
        <w:footnoteReference w:id="46"/>
      </w:r>
      <w:r>
        <w:rPr>
          <w:rFonts w:ascii="Times New Roman" w:hAnsi="Times New Roman"/>
          <w:sz w:val="24"/>
          <w:szCs w:val="24"/>
        </w:rPr>
        <w:t xml:space="preserve"> Such contract must be a valid and enforceable </w:t>
      </w:r>
      <w:r w:rsidRPr="006125BE">
        <w:rPr>
          <w:rFonts w:ascii="Times New Roman" w:hAnsi="Times New Roman"/>
          <w:sz w:val="24"/>
          <w:szCs w:val="24"/>
        </w:rPr>
        <w:t>contract</w:t>
      </w:r>
      <w:r>
        <w:rPr>
          <w:rFonts w:ascii="Times New Roman" w:hAnsi="Times New Roman"/>
          <w:sz w:val="24"/>
          <w:szCs w:val="24"/>
        </w:rPr>
        <w:t>, otherwise, none of the parties will be allowed to enforce their rights under the contract.</w:t>
      </w:r>
      <w:r>
        <w:rPr>
          <w:rStyle w:val="FootnoteReference"/>
          <w:rFonts w:ascii="Times New Roman" w:hAnsi="Times New Roman"/>
          <w:sz w:val="24"/>
          <w:szCs w:val="24"/>
        </w:rPr>
        <w:footnoteReference w:id="47"/>
      </w:r>
    </w:p>
    <w:p w:rsidR="00FD6A1D" w:rsidRDefault="00FD6A1D" w:rsidP="00FD6A1D">
      <w:pPr>
        <w:spacing w:after="0" w:line="360" w:lineRule="auto"/>
        <w:ind w:left="90" w:right="-63"/>
        <w:jc w:val="both"/>
        <w:rPr>
          <w:rFonts w:ascii="Times New Roman" w:hAnsi="Times New Roman"/>
          <w:b/>
          <w:sz w:val="24"/>
          <w:szCs w:val="24"/>
        </w:rPr>
      </w:pPr>
      <w:r w:rsidRPr="003D4603">
        <w:rPr>
          <w:rFonts w:ascii="Times New Roman" w:hAnsi="Times New Roman"/>
          <w:b/>
          <w:sz w:val="24"/>
          <w:szCs w:val="24"/>
        </w:rPr>
        <w:t>ii.</w:t>
      </w:r>
      <w:r>
        <w:rPr>
          <w:rFonts w:ascii="Times New Roman" w:hAnsi="Times New Roman"/>
          <w:b/>
          <w:sz w:val="24"/>
          <w:szCs w:val="24"/>
        </w:rPr>
        <w:t xml:space="preserve"> Land Holding</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The law empowers a corporation just like natural person to hold land in her name.</w:t>
      </w:r>
      <w:r>
        <w:rPr>
          <w:rStyle w:val="FootnoteReference"/>
          <w:rFonts w:ascii="Times New Roman" w:hAnsi="Times New Roman"/>
          <w:sz w:val="24"/>
          <w:szCs w:val="24"/>
        </w:rPr>
        <w:footnoteReference w:id="48"/>
      </w:r>
      <w:r>
        <w:rPr>
          <w:rFonts w:ascii="Times New Roman" w:hAnsi="Times New Roman"/>
          <w:sz w:val="24"/>
          <w:szCs w:val="24"/>
        </w:rPr>
        <w:t xml:space="preserve"> Such land held by a corporation is the property of the corporation. The corporation can exercise all rights of ownership such as right to possess, right to occupy, right to let and sell the landed property in question. The way and manner natural persons hold land and deal with it is not different from that of the corporate persons.</w:t>
      </w:r>
      <w:r>
        <w:rPr>
          <w:rStyle w:val="FootnoteReference"/>
          <w:rFonts w:ascii="Times New Roman" w:hAnsi="Times New Roman"/>
          <w:sz w:val="24"/>
          <w:szCs w:val="24"/>
        </w:rPr>
        <w:footnoteReference w:id="49"/>
      </w:r>
    </w:p>
    <w:p w:rsidR="00FD6A1D" w:rsidRDefault="00FD6A1D" w:rsidP="00FD6A1D">
      <w:pPr>
        <w:spacing w:after="0" w:line="360" w:lineRule="auto"/>
        <w:ind w:left="90" w:right="-63"/>
        <w:jc w:val="both"/>
        <w:rPr>
          <w:rFonts w:ascii="Times New Roman" w:hAnsi="Times New Roman"/>
          <w:b/>
          <w:sz w:val="24"/>
          <w:szCs w:val="24"/>
        </w:rPr>
      </w:pPr>
      <w:r w:rsidRPr="003D4603">
        <w:rPr>
          <w:rFonts w:ascii="Times New Roman" w:hAnsi="Times New Roman"/>
          <w:b/>
          <w:sz w:val="24"/>
          <w:szCs w:val="24"/>
        </w:rPr>
        <w:t>iii.</w:t>
      </w:r>
      <w:r>
        <w:rPr>
          <w:rFonts w:ascii="Times New Roman" w:hAnsi="Times New Roman"/>
          <w:b/>
          <w:sz w:val="24"/>
          <w:szCs w:val="24"/>
        </w:rPr>
        <w:t xml:space="preserve"> Legal Capacity to </w:t>
      </w:r>
      <w:r w:rsidRPr="00940061">
        <w:rPr>
          <w:rFonts w:ascii="Times New Roman" w:hAnsi="Times New Roman"/>
          <w:b/>
          <w:sz w:val="24"/>
          <w:szCs w:val="24"/>
        </w:rPr>
        <w:t>s</w:t>
      </w:r>
      <w:r>
        <w:rPr>
          <w:rFonts w:ascii="Times New Roman" w:hAnsi="Times New Roman"/>
          <w:b/>
          <w:sz w:val="24"/>
          <w:szCs w:val="24"/>
        </w:rPr>
        <w:t xml:space="preserve">ue and be </w:t>
      </w:r>
      <w:r w:rsidRPr="00940061">
        <w:rPr>
          <w:rFonts w:ascii="Times New Roman" w:hAnsi="Times New Roman"/>
          <w:b/>
          <w:sz w:val="24"/>
          <w:szCs w:val="24"/>
        </w:rPr>
        <w:t>s</w:t>
      </w:r>
      <w:r>
        <w:rPr>
          <w:rFonts w:ascii="Times New Roman" w:hAnsi="Times New Roman"/>
          <w:b/>
          <w:sz w:val="24"/>
          <w:szCs w:val="24"/>
        </w:rPr>
        <w:t>ued</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A corporation has capacity under the law to sue for the purposes of seeking redress against any wrong perpetuated towards its interest.</w:t>
      </w:r>
      <w:r>
        <w:rPr>
          <w:rStyle w:val="FootnoteReference"/>
          <w:rFonts w:ascii="Times New Roman" w:hAnsi="Times New Roman"/>
          <w:sz w:val="24"/>
          <w:szCs w:val="24"/>
        </w:rPr>
        <w:footnoteReference w:id="50"/>
      </w:r>
      <w:r>
        <w:rPr>
          <w:rFonts w:ascii="Times New Roman" w:hAnsi="Times New Roman"/>
          <w:sz w:val="24"/>
          <w:szCs w:val="24"/>
        </w:rPr>
        <w:t xml:space="preserve"> For instance, corporation can sue her debtor to recover the debt; a corporation can sue her tenant or lessee to recover the demised property; a corporation can sue to seek redress and damages in case of defamation of her character/goodwill or against her personality. Likewise under the law, a corporation can be sued if she commits any wrong to which the other party is aggrieved.</w:t>
      </w:r>
      <w:r>
        <w:rPr>
          <w:rStyle w:val="FootnoteReference"/>
          <w:rFonts w:ascii="Times New Roman" w:hAnsi="Times New Roman"/>
          <w:sz w:val="24"/>
          <w:szCs w:val="24"/>
        </w:rPr>
        <w:footnoteReference w:id="51"/>
      </w:r>
      <w:r>
        <w:rPr>
          <w:rFonts w:ascii="Times New Roman" w:hAnsi="Times New Roman"/>
          <w:sz w:val="24"/>
          <w:szCs w:val="24"/>
        </w:rPr>
        <w:t xml:space="preserve"> Even a corporation can be charged for a criminal offence and duly punished in accordance with the law if found guilty.</w:t>
      </w:r>
      <w:r>
        <w:rPr>
          <w:rStyle w:val="FootnoteReference"/>
          <w:rFonts w:ascii="Times New Roman" w:hAnsi="Times New Roman"/>
          <w:sz w:val="24"/>
          <w:szCs w:val="24"/>
        </w:rPr>
        <w:footnoteReference w:id="52"/>
      </w:r>
    </w:p>
    <w:p w:rsidR="00FD6A1D" w:rsidRDefault="00FD6A1D" w:rsidP="00FD6A1D">
      <w:pPr>
        <w:spacing w:after="0" w:line="360" w:lineRule="auto"/>
        <w:ind w:left="90" w:right="-63"/>
        <w:jc w:val="both"/>
        <w:rPr>
          <w:rFonts w:ascii="Times New Roman" w:hAnsi="Times New Roman"/>
          <w:b/>
          <w:sz w:val="24"/>
          <w:szCs w:val="24"/>
        </w:rPr>
      </w:pPr>
      <w:r w:rsidRPr="003D4603">
        <w:rPr>
          <w:rFonts w:ascii="Times New Roman" w:hAnsi="Times New Roman"/>
          <w:b/>
          <w:sz w:val="24"/>
          <w:szCs w:val="24"/>
        </w:rPr>
        <w:t>iv.</w:t>
      </w:r>
      <w:r>
        <w:rPr>
          <w:rFonts w:ascii="Times New Roman" w:hAnsi="Times New Roman"/>
          <w:b/>
          <w:sz w:val="24"/>
          <w:szCs w:val="24"/>
        </w:rPr>
        <w:t xml:space="preserve"> Existence</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A corporation, once created by law after incorporation, can exist or live like natural person. If a corporation is subject to a good corporate governance, it is capable living perpetually.</w:t>
      </w:r>
      <w:r>
        <w:rPr>
          <w:rStyle w:val="FootnoteReference"/>
          <w:rFonts w:ascii="Times New Roman" w:hAnsi="Times New Roman"/>
          <w:sz w:val="24"/>
          <w:szCs w:val="24"/>
        </w:rPr>
        <w:footnoteReference w:id="53"/>
      </w:r>
      <w:r>
        <w:rPr>
          <w:rFonts w:ascii="Times New Roman" w:hAnsi="Times New Roman"/>
          <w:sz w:val="24"/>
          <w:szCs w:val="24"/>
        </w:rPr>
        <w:t xml:space="preserve"> That is why one of the features of artificial person is perpetual succession.</w:t>
      </w:r>
      <w:r>
        <w:rPr>
          <w:rStyle w:val="FootnoteReference"/>
          <w:rFonts w:ascii="Times New Roman" w:hAnsi="Times New Roman"/>
          <w:sz w:val="24"/>
          <w:szCs w:val="24"/>
        </w:rPr>
        <w:footnoteReference w:id="54"/>
      </w:r>
      <w:r>
        <w:rPr>
          <w:rFonts w:ascii="Times New Roman" w:hAnsi="Times New Roman"/>
          <w:sz w:val="24"/>
          <w:szCs w:val="24"/>
        </w:rPr>
        <w:t xml:space="preserve"> The existence of a corporation can come into an end like that of the natural persons if the incidence of corporate governance </w:t>
      </w:r>
      <w:r>
        <w:rPr>
          <w:rFonts w:ascii="Times New Roman" w:hAnsi="Times New Roman"/>
          <w:sz w:val="24"/>
          <w:szCs w:val="24"/>
        </w:rPr>
        <w:lastRenderedPageBreak/>
        <w:t>failure prevails or manifests beyond repair in corporate administration. It must therefore be noted that the law that created artificial corporate persons is also the only instrument through which their existence can be determined in line with laid down procedures for winding-up under the corporate laws.</w:t>
      </w:r>
      <w:r>
        <w:rPr>
          <w:rStyle w:val="FootnoteReference"/>
          <w:rFonts w:ascii="Times New Roman" w:hAnsi="Times New Roman"/>
          <w:sz w:val="24"/>
          <w:szCs w:val="24"/>
        </w:rPr>
        <w:footnoteReference w:id="55"/>
      </w:r>
    </w:p>
    <w:p w:rsidR="00FD6A1D" w:rsidRDefault="00FD6A1D" w:rsidP="00FD6A1D">
      <w:pPr>
        <w:spacing w:after="0" w:line="360" w:lineRule="auto"/>
        <w:ind w:left="90" w:right="-63"/>
        <w:jc w:val="both"/>
        <w:rPr>
          <w:rFonts w:ascii="Times New Roman" w:hAnsi="Times New Roman"/>
          <w:b/>
          <w:sz w:val="24"/>
          <w:szCs w:val="24"/>
        </w:rPr>
      </w:pPr>
      <w:r w:rsidRPr="003D4603">
        <w:rPr>
          <w:rFonts w:ascii="Times New Roman" w:hAnsi="Times New Roman"/>
          <w:b/>
          <w:sz w:val="24"/>
          <w:szCs w:val="24"/>
        </w:rPr>
        <w:t>v.</w:t>
      </w:r>
      <w:r>
        <w:rPr>
          <w:rFonts w:ascii="Times New Roman" w:hAnsi="Times New Roman"/>
          <w:b/>
          <w:sz w:val="24"/>
          <w:szCs w:val="24"/>
        </w:rPr>
        <w:t xml:space="preserve"> Having Bank Account(s)</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The capability to have Bank Accounts is not at the exclusive preserve of the natural persons. Artificial persons too can have Bank Account(s) in the causes of their existence.</w:t>
      </w:r>
      <w:r>
        <w:rPr>
          <w:rStyle w:val="FootnoteReference"/>
          <w:rFonts w:ascii="Times New Roman" w:hAnsi="Times New Roman"/>
          <w:sz w:val="24"/>
          <w:szCs w:val="24"/>
        </w:rPr>
        <w:footnoteReference w:id="56"/>
      </w:r>
      <w:r>
        <w:rPr>
          <w:rFonts w:ascii="Times New Roman" w:hAnsi="Times New Roman"/>
          <w:sz w:val="24"/>
          <w:szCs w:val="24"/>
        </w:rPr>
        <w:t xml:space="preserve"> In fact, as parts of the measures to curtail corporate governance failure, it is desirable that a corporation has a corporate account purposely for its businesses and for records purpose. This, is in most cases, helps to discover misappropriation of the corporate funds by corporate managers since the statements of the corporate account reflects all transactions. More so, corporate accounts belonging to corporations also help in periodic auditing of the corporate activities over a given period of years.</w:t>
      </w:r>
    </w:p>
    <w:p w:rsidR="00FD6A1D" w:rsidRDefault="00FD6A1D" w:rsidP="00FD6A1D">
      <w:pPr>
        <w:spacing w:after="0" w:line="360" w:lineRule="auto"/>
        <w:ind w:left="90" w:right="-63"/>
        <w:jc w:val="both"/>
        <w:rPr>
          <w:rFonts w:ascii="Times New Roman" w:hAnsi="Times New Roman"/>
          <w:sz w:val="24"/>
          <w:szCs w:val="24"/>
        </w:rPr>
      </w:pPr>
      <w:r w:rsidRPr="00C32025">
        <w:rPr>
          <w:rFonts w:ascii="Times New Roman" w:hAnsi="Times New Roman"/>
          <w:b/>
          <w:sz w:val="24"/>
          <w:szCs w:val="24"/>
        </w:rPr>
        <w:t>vi</w:t>
      </w:r>
      <w:r>
        <w:rPr>
          <w:rFonts w:ascii="Times New Roman" w:hAnsi="Times New Roman"/>
          <w:sz w:val="24"/>
          <w:szCs w:val="24"/>
        </w:rPr>
        <w:t xml:space="preserve">. </w:t>
      </w:r>
      <w:r>
        <w:rPr>
          <w:rFonts w:ascii="Times New Roman" w:hAnsi="Times New Roman"/>
          <w:b/>
          <w:bCs/>
          <w:sz w:val="24"/>
          <w:szCs w:val="24"/>
        </w:rPr>
        <w:t>Acceptance of Gifts and Donations</w:t>
      </w:r>
    </w:p>
    <w:p w:rsidR="00FD6A1D" w:rsidRPr="007B2823"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Like natural persons, a body corporate or corporate entity can accept gifts or donations just as she can give out gifts and donations. However, the provisions of corporate law in Nigeria has come to regulate this aspect of corporate activities to avoid abuse, sham, corruption and breach of fiduciary duty amongst other cases of corporate governance failures.</w:t>
      </w:r>
      <w:r>
        <w:rPr>
          <w:rStyle w:val="FootnoteReference"/>
          <w:rFonts w:ascii="Times New Roman" w:hAnsi="Times New Roman"/>
          <w:sz w:val="24"/>
          <w:szCs w:val="24"/>
        </w:rPr>
        <w:footnoteReference w:id="57"/>
      </w:r>
    </w:p>
    <w:p w:rsidR="00FD6A1D" w:rsidRDefault="00FD6A1D" w:rsidP="00FD6A1D">
      <w:pPr>
        <w:spacing w:after="0" w:line="360" w:lineRule="auto"/>
        <w:ind w:left="90" w:right="-63"/>
        <w:jc w:val="both"/>
        <w:rPr>
          <w:rFonts w:ascii="Times New Roman" w:hAnsi="Times New Roman"/>
          <w:b/>
          <w:bCs/>
          <w:sz w:val="24"/>
          <w:szCs w:val="24"/>
        </w:rPr>
      </w:pPr>
      <w:r w:rsidRPr="00C32025">
        <w:rPr>
          <w:rFonts w:ascii="Times New Roman" w:hAnsi="Times New Roman"/>
          <w:b/>
          <w:sz w:val="24"/>
          <w:szCs w:val="24"/>
        </w:rPr>
        <w:t>vii</w:t>
      </w:r>
      <w:r>
        <w:rPr>
          <w:rFonts w:ascii="Times New Roman" w:hAnsi="Times New Roman"/>
          <w:b/>
          <w:sz w:val="24"/>
          <w:szCs w:val="24"/>
        </w:rPr>
        <w:t xml:space="preserve">. </w:t>
      </w:r>
      <w:r>
        <w:rPr>
          <w:rFonts w:ascii="Times New Roman" w:hAnsi="Times New Roman"/>
          <w:sz w:val="24"/>
          <w:szCs w:val="24"/>
        </w:rPr>
        <w:tab/>
      </w:r>
      <w:r>
        <w:rPr>
          <w:rFonts w:ascii="Times New Roman" w:hAnsi="Times New Roman"/>
          <w:b/>
          <w:bCs/>
          <w:sz w:val="24"/>
          <w:szCs w:val="24"/>
        </w:rPr>
        <w:t>Principal/Agency</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The main existence of corporations is deeply rooted in the operation of Principal/Agency relationship. As already pointed out above, the personality of corporations is abstract in nature Thus, they depend on their human organ to carry out or discharge their duties and responsibilities under the law. This</w:t>
      </w:r>
      <w:r w:rsidRPr="00114BEC">
        <w:rPr>
          <w:rFonts w:ascii="Times New Roman" w:hAnsi="Times New Roman"/>
          <w:color w:val="FF0000"/>
          <w:sz w:val="24"/>
          <w:szCs w:val="24"/>
        </w:rPr>
        <w:t xml:space="preserve"> </w:t>
      </w:r>
      <w:r>
        <w:rPr>
          <w:rFonts w:ascii="Times New Roman" w:hAnsi="Times New Roman"/>
          <w:sz w:val="24"/>
          <w:szCs w:val="24"/>
        </w:rPr>
        <w:t>brings to fore the Principal/Agency relationship or activities in corporate governance.</w:t>
      </w:r>
      <w:r>
        <w:rPr>
          <w:rStyle w:val="FootnoteReference"/>
          <w:rFonts w:ascii="Times New Roman" w:hAnsi="Times New Roman"/>
          <w:sz w:val="24"/>
          <w:szCs w:val="24"/>
        </w:rPr>
        <w:footnoteReference w:id="58"/>
      </w:r>
      <w:r>
        <w:rPr>
          <w:rFonts w:ascii="Times New Roman" w:hAnsi="Times New Roman"/>
          <w:sz w:val="24"/>
          <w:szCs w:val="24"/>
        </w:rPr>
        <w:t xml:space="preserve"> This Principal/Agency activities can take two forms. The corporation can be a principal while her directors or secretary or any designated human agent of the corporation would be an agent for the running of the affairs of the corporation or for the purpose of transacting her businesses in accordance with the law. In the same vein, a corporation may appoint an external </w:t>
      </w:r>
      <w:r>
        <w:rPr>
          <w:rFonts w:ascii="Times New Roman" w:hAnsi="Times New Roman"/>
          <w:sz w:val="24"/>
          <w:szCs w:val="24"/>
        </w:rPr>
        <w:lastRenderedPageBreak/>
        <w:t xml:space="preserve">person or group of persons to carry out certain functions on behalf of the corporation. In this wise, the corporation acts as a principal while the external persons or group of persons </w:t>
      </w:r>
      <w:r w:rsidRPr="003F1C23">
        <w:rPr>
          <w:rFonts w:ascii="Times New Roman" w:hAnsi="Times New Roman"/>
          <w:sz w:val="24"/>
          <w:szCs w:val="24"/>
        </w:rPr>
        <w:t>is/</w:t>
      </w:r>
      <w:r>
        <w:rPr>
          <w:rFonts w:ascii="Times New Roman" w:hAnsi="Times New Roman"/>
          <w:sz w:val="24"/>
          <w:szCs w:val="24"/>
        </w:rPr>
        <w:t xml:space="preserve">are the agent of the corporation for the time being. So, as natural being can leverage on Principal/Agent relationship to carry out some activities, the same </w:t>
      </w:r>
      <w:r w:rsidRPr="003F1C23">
        <w:rPr>
          <w:rFonts w:ascii="Times New Roman" w:hAnsi="Times New Roman"/>
          <w:sz w:val="24"/>
          <w:szCs w:val="24"/>
        </w:rPr>
        <w:t>is</w:t>
      </w:r>
      <w:r>
        <w:rPr>
          <w:rFonts w:ascii="Times New Roman" w:hAnsi="Times New Roman"/>
          <w:sz w:val="24"/>
          <w:szCs w:val="24"/>
        </w:rPr>
        <w:t xml:space="preserve"> also applicable to corporate entities.</w:t>
      </w:r>
      <w:r>
        <w:rPr>
          <w:rStyle w:val="FootnoteReference"/>
          <w:rFonts w:ascii="Times New Roman" w:hAnsi="Times New Roman"/>
          <w:sz w:val="24"/>
          <w:szCs w:val="24"/>
        </w:rPr>
        <w:footnoteReference w:id="59"/>
      </w:r>
    </w:p>
    <w:p w:rsidR="00FD6A1D" w:rsidRDefault="00FD6A1D" w:rsidP="00FD6A1D">
      <w:pPr>
        <w:spacing w:after="0" w:line="360" w:lineRule="auto"/>
        <w:ind w:left="90" w:right="-63"/>
        <w:jc w:val="both"/>
        <w:rPr>
          <w:rFonts w:ascii="Times New Roman" w:hAnsi="Times New Roman"/>
          <w:b/>
          <w:bCs/>
          <w:sz w:val="24"/>
          <w:szCs w:val="24"/>
        </w:rPr>
      </w:pPr>
      <w:r w:rsidRPr="00C32025">
        <w:rPr>
          <w:rFonts w:ascii="Times New Roman" w:hAnsi="Times New Roman"/>
          <w:b/>
          <w:sz w:val="24"/>
          <w:szCs w:val="24"/>
        </w:rPr>
        <w:t>5</w:t>
      </w:r>
      <w:r>
        <w:rPr>
          <w:rFonts w:ascii="Times New Roman" w:hAnsi="Times New Roman"/>
          <w:b/>
          <w:sz w:val="24"/>
          <w:szCs w:val="24"/>
        </w:rPr>
        <w:t xml:space="preserve">. </w:t>
      </w:r>
      <w:r>
        <w:rPr>
          <w:rFonts w:ascii="Times New Roman" w:hAnsi="Times New Roman"/>
          <w:b/>
          <w:bCs/>
          <w:sz w:val="24"/>
          <w:szCs w:val="24"/>
        </w:rPr>
        <w:t>Abuse of Corporate Personality/Lifting the Veil</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Corporate personality is specifically designed by law to aid business ventures against associated risks.</w:t>
      </w:r>
      <w:r>
        <w:rPr>
          <w:rStyle w:val="FootnoteReference"/>
          <w:rFonts w:ascii="Times New Roman" w:hAnsi="Times New Roman"/>
          <w:sz w:val="24"/>
          <w:szCs w:val="24"/>
        </w:rPr>
        <w:footnoteReference w:id="60"/>
      </w:r>
      <w:r>
        <w:rPr>
          <w:rFonts w:ascii="Times New Roman" w:hAnsi="Times New Roman"/>
          <w:sz w:val="24"/>
          <w:szCs w:val="24"/>
        </w:rPr>
        <w:t xml:space="preserve"> Thus, after incorporation, the shareholders, directors and other human </w:t>
      </w:r>
      <w:r w:rsidRPr="00C32025">
        <w:rPr>
          <w:rFonts w:ascii="Times New Roman" w:hAnsi="Times New Roman"/>
          <w:sz w:val="24"/>
          <w:szCs w:val="24"/>
        </w:rPr>
        <w:t>agents</w:t>
      </w:r>
      <w:r>
        <w:rPr>
          <w:rFonts w:ascii="Times New Roman" w:hAnsi="Times New Roman"/>
          <w:sz w:val="24"/>
          <w:szCs w:val="24"/>
        </w:rPr>
        <w:t xml:space="preserve"> of the company rely on the veil of incorporation as a form of statutory protection.</w:t>
      </w:r>
      <w:r>
        <w:rPr>
          <w:rStyle w:val="FootnoteReference"/>
          <w:rFonts w:ascii="Times New Roman" w:hAnsi="Times New Roman"/>
          <w:sz w:val="24"/>
          <w:szCs w:val="24"/>
        </w:rPr>
        <w:footnoteReference w:id="61"/>
      </w:r>
      <w:r>
        <w:rPr>
          <w:rFonts w:ascii="Times New Roman" w:hAnsi="Times New Roman"/>
          <w:sz w:val="24"/>
          <w:szCs w:val="24"/>
        </w:rPr>
        <w:t xml:space="preserve"> In the activities of the human agents of the companies with the third agency, the law only sees the corporations and not the human agents in question. This is as a result of incorporation which shield the corporate members from personal liability in their dealings.</w:t>
      </w:r>
      <w:r>
        <w:rPr>
          <w:rStyle w:val="FootnoteReference"/>
          <w:rFonts w:ascii="Times New Roman" w:hAnsi="Times New Roman"/>
          <w:sz w:val="24"/>
          <w:szCs w:val="24"/>
        </w:rPr>
        <w:footnoteReference w:id="62"/>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In so far as corporate governance framework is being strictly followed to the latter, the human agents of the corporation continue to enjoy the legal protection of veil of incorporation. However, once the members, directors, employees and other human agents of the corporation employ the legal protection to perpetuate any of the instance of corporate governance failures, then the legislature gives the </w:t>
      </w:r>
      <w:r w:rsidRPr="00C32025">
        <w:rPr>
          <w:rFonts w:ascii="Times New Roman" w:hAnsi="Times New Roman"/>
          <w:sz w:val="24"/>
          <w:szCs w:val="24"/>
        </w:rPr>
        <w:t>judicial</w:t>
      </w:r>
      <w:r>
        <w:rPr>
          <w:rFonts w:ascii="Times New Roman" w:hAnsi="Times New Roman"/>
          <w:sz w:val="24"/>
          <w:szCs w:val="24"/>
        </w:rPr>
        <w:t xml:space="preserve"> power to lift the veil of incorporation and deal with the individuals involved in the odious, atrocious, unethical and unwarranted activities in their personal capacities.</w:t>
      </w:r>
      <w:r>
        <w:rPr>
          <w:rStyle w:val="FootnoteReference"/>
          <w:rFonts w:ascii="Times New Roman" w:hAnsi="Times New Roman"/>
          <w:sz w:val="24"/>
          <w:szCs w:val="24"/>
        </w:rPr>
        <w:footnoteReference w:id="63"/>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The foregoing is to prevent the legal protection from being used as the sword instead of shield. This is because the law cannot be used as an instrument of fraud against the third parties. To this end, the position of the law and attitudes of courts in Nigeria </w:t>
      </w:r>
      <w:r w:rsidRPr="004271E5">
        <w:rPr>
          <w:rFonts w:ascii="Times New Roman" w:hAnsi="Times New Roman"/>
          <w:sz w:val="24"/>
          <w:szCs w:val="24"/>
        </w:rPr>
        <w:t>shows</w:t>
      </w:r>
      <w:r>
        <w:rPr>
          <w:rFonts w:ascii="Times New Roman" w:hAnsi="Times New Roman"/>
          <w:sz w:val="24"/>
          <w:szCs w:val="24"/>
        </w:rPr>
        <w:t xml:space="preserve"> that the legal protection of the veil of incorporation is not an absolute one. It is only meant to be enjoyed so long the corporate governance law, rules, regulations, guidelines and frameworks designed in line with international standards are being observed strictly.</w:t>
      </w:r>
      <w:r>
        <w:rPr>
          <w:rStyle w:val="FootnoteReference"/>
          <w:rFonts w:ascii="Times New Roman" w:hAnsi="Times New Roman"/>
          <w:sz w:val="24"/>
          <w:szCs w:val="24"/>
        </w:rPr>
        <w:footnoteReference w:id="64"/>
      </w:r>
    </w:p>
    <w:p w:rsidR="00FD6A1D" w:rsidRDefault="00FD6A1D" w:rsidP="00FD6A1D">
      <w:pPr>
        <w:spacing w:after="0" w:line="360" w:lineRule="auto"/>
        <w:ind w:left="90" w:right="-63"/>
        <w:jc w:val="both"/>
        <w:rPr>
          <w:rFonts w:ascii="Times New Roman" w:hAnsi="Times New Roman"/>
          <w:b/>
          <w:bCs/>
          <w:sz w:val="24"/>
          <w:szCs w:val="24"/>
        </w:rPr>
      </w:pPr>
      <w:r w:rsidRPr="00C32025">
        <w:rPr>
          <w:rFonts w:ascii="Times New Roman" w:hAnsi="Times New Roman"/>
          <w:b/>
          <w:bCs/>
          <w:sz w:val="24"/>
          <w:szCs w:val="24"/>
        </w:rPr>
        <w:lastRenderedPageBreak/>
        <w:t>2.2</w:t>
      </w:r>
      <w:r>
        <w:rPr>
          <w:rFonts w:ascii="Times New Roman" w:hAnsi="Times New Roman"/>
          <w:b/>
          <w:bCs/>
          <w:sz w:val="24"/>
          <w:szCs w:val="24"/>
        </w:rPr>
        <w:t xml:space="preserve">. Corporate Personality under </w:t>
      </w:r>
      <w:proofErr w:type="spellStart"/>
      <w:r>
        <w:rPr>
          <w:rFonts w:ascii="Times New Roman" w:hAnsi="Times New Roman"/>
          <w:b/>
          <w:bCs/>
          <w:sz w:val="24"/>
          <w:szCs w:val="24"/>
        </w:rPr>
        <w:t>Shari’ah</w:t>
      </w:r>
      <w:proofErr w:type="spellEnd"/>
      <w:r>
        <w:rPr>
          <w:rFonts w:ascii="Times New Roman" w:hAnsi="Times New Roman"/>
          <w:b/>
          <w:bCs/>
          <w:sz w:val="24"/>
          <w:szCs w:val="24"/>
        </w:rPr>
        <w:t xml:space="preserve"> </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Corporate personality which is synonymous to artificial personality does not enjoy stereotype recognition under </w:t>
      </w:r>
      <w:proofErr w:type="spellStart"/>
      <w:r>
        <w:rPr>
          <w:rFonts w:ascii="Times New Roman" w:hAnsi="Times New Roman"/>
          <w:sz w:val="24"/>
          <w:szCs w:val="24"/>
        </w:rPr>
        <w:t>Shari’ah</w:t>
      </w:r>
      <w:proofErr w:type="spellEnd"/>
      <w:r>
        <w:rPr>
          <w:rFonts w:ascii="Times New Roman" w:hAnsi="Times New Roman"/>
          <w:sz w:val="24"/>
          <w:szCs w:val="24"/>
        </w:rPr>
        <w:t xml:space="preserve"> as it is under the conventional corporate law orchestrated above. The Muslim Jurists are unanimous that artificial personality (</w:t>
      </w:r>
      <w:proofErr w:type="spellStart"/>
      <w:r>
        <w:rPr>
          <w:rFonts w:ascii="Times New Roman" w:hAnsi="Times New Roman"/>
          <w:i/>
          <w:iCs/>
          <w:sz w:val="24"/>
          <w:szCs w:val="24"/>
        </w:rPr>
        <w:t>Shakhsiyyah</w:t>
      </w:r>
      <w:proofErr w:type="spellEnd"/>
      <w:r>
        <w:rPr>
          <w:rFonts w:ascii="Times New Roman" w:hAnsi="Times New Roman"/>
          <w:sz w:val="24"/>
          <w:szCs w:val="24"/>
        </w:rPr>
        <w:t xml:space="preserve"> ‘</w:t>
      </w:r>
      <w:proofErr w:type="spellStart"/>
      <w:r>
        <w:rPr>
          <w:rFonts w:ascii="Times New Roman" w:hAnsi="Times New Roman"/>
          <w:i/>
          <w:iCs/>
          <w:sz w:val="24"/>
          <w:szCs w:val="24"/>
        </w:rPr>
        <w:t>Itibaariyyah</w:t>
      </w:r>
      <w:proofErr w:type="spellEnd"/>
      <w:r>
        <w:rPr>
          <w:rFonts w:ascii="Times New Roman" w:hAnsi="Times New Roman"/>
          <w:sz w:val="24"/>
          <w:szCs w:val="24"/>
        </w:rPr>
        <w:t>) depicts artificial persons separate from natural persons but which exist and perform certain role like that of natural persons.</w:t>
      </w:r>
      <w:r>
        <w:rPr>
          <w:rStyle w:val="FootnoteReference"/>
          <w:rFonts w:ascii="Times New Roman" w:hAnsi="Times New Roman"/>
          <w:sz w:val="24"/>
          <w:szCs w:val="24"/>
        </w:rPr>
        <w:footnoteReference w:id="65"/>
      </w:r>
      <w:r>
        <w:rPr>
          <w:rFonts w:ascii="Times New Roman" w:hAnsi="Times New Roman"/>
          <w:sz w:val="24"/>
          <w:szCs w:val="24"/>
        </w:rPr>
        <w:t xml:space="preserve"> This unanimous position</w:t>
      </w:r>
      <w:r w:rsidRPr="008C0A85">
        <w:rPr>
          <w:rFonts w:ascii="Times New Roman" w:hAnsi="Times New Roman"/>
          <w:sz w:val="24"/>
          <w:szCs w:val="24"/>
        </w:rPr>
        <w:t>s</w:t>
      </w:r>
      <w:r>
        <w:rPr>
          <w:rFonts w:ascii="Times New Roman" w:hAnsi="Times New Roman"/>
          <w:sz w:val="24"/>
          <w:szCs w:val="24"/>
        </w:rPr>
        <w:t xml:space="preserve"> of Islamic Jurists regarding the nature of artificial person bring forth recognition of artificial person under </w:t>
      </w:r>
      <w:proofErr w:type="spellStart"/>
      <w:r>
        <w:rPr>
          <w:rFonts w:ascii="Times New Roman" w:hAnsi="Times New Roman"/>
          <w:sz w:val="24"/>
          <w:szCs w:val="24"/>
        </w:rPr>
        <w:t>Shari’ah</w:t>
      </w:r>
      <w:proofErr w:type="spellEnd"/>
      <w:r>
        <w:rPr>
          <w:rFonts w:ascii="Times New Roman" w:hAnsi="Times New Roman"/>
          <w:sz w:val="24"/>
          <w:szCs w:val="24"/>
        </w:rPr>
        <w:t>. This segment shall examine the divergence of opinions of the scholars with respect to the recognition of artificial personality from the perspectives of the Antagonists and Protagonists of artificial personality.</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The view of the Antagonists is premised on the express and specific provision of the Holy </w:t>
      </w:r>
      <w:r>
        <w:rPr>
          <w:rFonts w:ascii="Times New Roman" w:hAnsi="Times New Roman"/>
          <w:i/>
          <w:iCs/>
          <w:sz w:val="24"/>
          <w:szCs w:val="24"/>
        </w:rPr>
        <w:t>Qur’an</w:t>
      </w:r>
      <w:r>
        <w:rPr>
          <w:rFonts w:ascii="Times New Roman" w:hAnsi="Times New Roman"/>
          <w:sz w:val="24"/>
          <w:szCs w:val="24"/>
        </w:rPr>
        <w:t xml:space="preserve"> when Allah (SWT) ordained that He never created the </w:t>
      </w:r>
      <w:proofErr w:type="spellStart"/>
      <w:r>
        <w:rPr>
          <w:rFonts w:ascii="Times New Roman" w:hAnsi="Times New Roman"/>
          <w:i/>
          <w:iCs/>
          <w:sz w:val="24"/>
          <w:szCs w:val="24"/>
        </w:rPr>
        <w:t>Jinns</w:t>
      </w:r>
      <w:proofErr w:type="spellEnd"/>
      <w:r>
        <w:rPr>
          <w:rFonts w:ascii="Times New Roman" w:hAnsi="Times New Roman"/>
          <w:sz w:val="24"/>
          <w:szCs w:val="24"/>
        </w:rPr>
        <w:t xml:space="preserve"> and mankind except for worship purpose.</w:t>
      </w:r>
      <w:r>
        <w:rPr>
          <w:rStyle w:val="FootnoteReference"/>
          <w:rFonts w:ascii="Times New Roman" w:hAnsi="Times New Roman"/>
          <w:sz w:val="24"/>
          <w:szCs w:val="24"/>
        </w:rPr>
        <w:footnoteReference w:id="66"/>
      </w:r>
      <w:r>
        <w:rPr>
          <w:rFonts w:ascii="Times New Roman" w:hAnsi="Times New Roman"/>
          <w:sz w:val="24"/>
          <w:szCs w:val="24"/>
        </w:rPr>
        <w:t xml:space="preserve"> The so called Antagonists contend that as far as </w:t>
      </w:r>
      <w:proofErr w:type="spellStart"/>
      <w:r>
        <w:rPr>
          <w:rFonts w:ascii="Times New Roman" w:hAnsi="Times New Roman"/>
          <w:i/>
          <w:iCs/>
          <w:sz w:val="24"/>
          <w:szCs w:val="24"/>
        </w:rPr>
        <w:t>Shari’ah</w:t>
      </w:r>
      <w:proofErr w:type="spellEnd"/>
      <w:r>
        <w:rPr>
          <w:rFonts w:ascii="Times New Roman" w:hAnsi="Times New Roman"/>
          <w:sz w:val="24"/>
          <w:szCs w:val="24"/>
        </w:rPr>
        <w:t xml:space="preserve"> is concerned, the purpose of creation of </w:t>
      </w:r>
      <w:proofErr w:type="spellStart"/>
      <w:r>
        <w:rPr>
          <w:rFonts w:ascii="Times New Roman" w:hAnsi="Times New Roman"/>
          <w:i/>
          <w:iCs/>
          <w:sz w:val="24"/>
          <w:szCs w:val="24"/>
        </w:rPr>
        <w:t>Jinns</w:t>
      </w:r>
      <w:proofErr w:type="spellEnd"/>
      <w:r>
        <w:rPr>
          <w:rFonts w:ascii="Times New Roman" w:hAnsi="Times New Roman"/>
          <w:sz w:val="24"/>
          <w:szCs w:val="24"/>
        </w:rPr>
        <w:t xml:space="preserve"> and mankind is for religious worship of Allah. The </w:t>
      </w:r>
      <w:proofErr w:type="spellStart"/>
      <w:r>
        <w:rPr>
          <w:rFonts w:ascii="Times New Roman" w:hAnsi="Times New Roman"/>
          <w:i/>
          <w:iCs/>
          <w:sz w:val="24"/>
          <w:szCs w:val="24"/>
        </w:rPr>
        <w:t>Jinns</w:t>
      </w:r>
      <w:proofErr w:type="spellEnd"/>
      <w:r>
        <w:rPr>
          <w:rFonts w:ascii="Times New Roman" w:hAnsi="Times New Roman"/>
          <w:sz w:val="24"/>
          <w:szCs w:val="24"/>
        </w:rPr>
        <w:t xml:space="preserve"> and mankind are natural persons who are going to be accountable to Allah </w:t>
      </w:r>
      <w:r w:rsidRPr="008C0A85">
        <w:rPr>
          <w:rFonts w:ascii="Times New Roman" w:hAnsi="Times New Roman"/>
          <w:sz w:val="24"/>
          <w:szCs w:val="24"/>
        </w:rPr>
        <w:t>in</w:t>
      </w:r>
      <w:r>
        <w:rPr>
          <w:rFonts w:ascii="Times New Roman" w:hAnsi="Times New Roman"/>
          <w:sz w:val="24"/>
          <w:szCs w:val="24"/>
        </w:rPr>
        <w:t xml:space="preserve"> the day of Resurrection. The arguments of the antagonists extended further that there is no evidence from the Scripture that Allah created artificial persons either for religious worship or otherwise.</w:t>
      </w:r>
      <w:r>
        <w:rPr>
          <w:rStyle w:val="FootnoteReference"/>
          <w:rFonts w:ascii="Times New Roman" w:hAnsi="Times New Roman"/>
          <w:sz w:val="24"/>
          <w:szCs w:val="24"/>
        </w:rPr>
        <w:footnoteReference w:id="67"/>
      </w:r>
      <w:r>
        <w:rPr>
          <w:rFonts w:ascii="Times New Roman" w:hAnsi="Times New Roman"/>
          <w:sz w:val="24"/>
          <w:szCs w:val="24"/>
        </w:rPr>
        <w:t xml:space="preserve"> Their conclusion is that the concept of artificial personality is alien to </w:t>
      </w:r>
      <w:proofErr w:type="spellStart"/>
      <w:r>
        <w:rPr>
          <w:rFonts w:ascii="Times New Roman" w:hAnsi="Times New Roman"/>
          <w:i/>
          <w:iCs/>
          <w:sz w:val="24"/>
          <w:szCs w:val="24"/>
        </w:rPr>
        <w:t>Shari’ah</w:t>
      </w:r>
      <w:proofErr w:type="spellEnd"/>
      <w:r>
        <w:rPr>
          <w:rFonts w:ascii="Times New Roman" w:hAnsi="Times New Roman"/>
          <w:sz w:val="24"/>
          <w:szCs w:val="24"/>
        </w:rPr>
        <w:t>.</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The Protagonists of the concept of artificial personality (</w:t>
      </w:r>
      <w:proofErr w:type="spellStart"/>
      <w:r>
        <w:rPr>
          <w:rFonts w:ascii="Times New Roman" w:hAnsi="Times New Roman"/>
          <w:i/>
          <w:iCs/>
          <w:sz w:val="24"/>
          <w:szCs w:val="24"/>
        </w:rPr>
        <w:t>Shakhsiyyah</w:t>
      </w:r>
      <w:proofErr w:type="spellEnd"/>
      <w:r>
        <w:rPr>
          <w:rFonts w:ascii="Times New Roman" w:hAnsi="Times New Roman"/>
          <w:sz w:val="24"/>
          <w:szCs w:val="24"/>
        </w:rPr>
        <w:t xml:space="preserve"> ‘</w:t>
      </w:r>
      <w:proofErr w:type="spellStart"/>
      <w:r>
        <w:rPr>
          <w:rFonts w:ascii="Times New Roman" w:hAnsi="Times New Roman"/>
          <w:i/>
          <w:iCs/>
          <w:sz w:val="24"/>
          <w:szCs w:val="24"/>
        </w:rPr>
        <w:t>Itibaariyyah</w:t>
      </w:r>
      <w:proofErr w:type="spellEnd"/>
      <w:r>
        <w:rPr>
          <w:rFonts w:ascii="Times New Roman" w:hAnsi="Times New Roman"/>
          <w:sz w:val="24"/>
          <w:szCs w:val="24"/>
        </w:rPr>
        <w:t xml:space="preserve">) employed the instrumentality of </w:t>
      </w:r>
      <w:proofErr w:type="spellStart"/>
      <w:r>
        <w:rPr>
          <w:rFonts w:ascii="Times New Roman" w:hAnsi="Times New Roman"/>
          <w:i/>
          <w:iCs/>
          <w:sz w:val="24"/>
          <w:szCs w:val="24"/>
        </w:rPr>
        <w:t>Qiyas</w:t>
      </w:r>
      <w:proofErr w:type="spellEnd"/>
      <w:r>
        <w:rPr>
          <w:rFonts w:ascii="Times New Roman" w:hAnsi="Times New Roman"/>
          <w:sz w:val="24"/>
          <w:szCs w:val="24"/>
        </w:rPr>
        <w:t xml:space="preserve"> (Analogical Deduction) to make case for the existence and recognition of artificial personality under </w:t>
      </w:r>
      <w:proofErr w:type="spellStart"/>
      <w:r>
        <w:rPr>
          <w:rFonts w:ascii="Times New Roman" w:hAnsi="Times New Roman"/>
          <w:i/>
          <w:iCs/>
          <w:sz w:val="24"/>
          <w:szCs w:val="24"/>
        </w:rPr>
        <w:t>Shari’ah</w:t>
      </w:r>
      <w:proofErr w:type="spellEnd"/>
      <w:r>
        <w:rPr>
          <w:rFonts w:ascii="Times New Roman" w:hAnsi="Times New Roman"/>
          <w:sz w:val="24"/>
          <w:szCs w:val="24"/>
        </w:rPr>
        <w:t>.</w:t>
      </w:r>
      <w:r>
        <w:rPr>
          <w:rStyle w:val="FootnoteReference"/>
          <w:rFonts w:ascii="Times New Roman" w:hAnsi="Times New Roman"/>
          <w:sz w:val="24"/>
          <w:szCs w:val="24"/>
        </w:rPr>
        <w:footnoteReference w:id="68"/>
      </w:r>
      <w:r>
        <w:rPr>
          <w:rFonts w:ascii="Times New Roman" w:hAnsi="Times New Roman"/>
          <w:sz w:val="24"/>
          <w:szCs w:val="24"/>
        </w:rPr>
        <w:t xml:space="preserve"> It is important to note that the view of the Protagonist was established through inferences. They took a cursory examination of certain indisputable and well </w:t>
      </w:r>
      <w:proofErr w:type="spellStart"/>
      <w:r w:rsidRPr="00C32025">
        <w:rPr>
          <w:rFonts w:ascii="Times New Roman" w:hAnsi="Times New Roman"/>
          <w:sz w:val="24"/>
          <w:szCs w:val="24"/>
        </w:rPr>
        <w:t>recognised</w:t>
      </w:r>
      <w:proofErr w:type="spellEnd"/>
      <w:r w:rsidRPr="00C32025">
        <w:rPr>
          <w:rFonts w:ascii="Times New Roman" w:hAnsi="Times New Roman"/>
          <w:sz w:val="24"/>
          <w:szCs w:val="24"/>
        </w:rPr>
        <w:t xml:space="preserve"> institution</w:t>
      </w:r>
      <w:r>
        <w:rPr>
          <w:rFonts w:ascii="Times New Roman" w:hAnsi="Times New Roman"/>
          <w:sz w:val="24"/>
          <w:szCs w:val="24"/>
        </w:rPr>
        <w:t xml:space="preserve">s under </w:t>
      </w:r>
      <w:proofErr w:type="spellStart"/>
      <w:r>
        <w:rPr>
          <w:rFonts w:ascii="Times New Roman" w:hAnsi="Times New Roman"/>
          <w:i/>
          <w:iCs/>
          <w:sz w:val="24"/>
          <w:szCs w:val="24"/>
        </w:rPr>
        <w:t>Shari’ah</w:t>
      </w:r>
      <w:proofErr w:type="spellEnd"/>
      <w:r>
        <w:rPr>
          <w:rFonts w:ascii="Times New Roman" w:hAnsi="Times New Roman"/>
          <w:sz w:val="24"/>
          <w:szCs w:val="24"/>
        </w:rPr>
        <w:t xml:space="preserve"> vis-à-vis</w:t>
      </w:r>
      <w:r w:rsidRPr="00C32025">
        <w:rPr>
          <w:rFonts w:ascii="Times New Roman" w:hAnsi="Times New Roman"/>
          <w:sz w:val="24"/>
          <w:szCs w:val="24"/>
        </w:rPr>
        <w:t>,</w:t>
      </w:r>
      <w:r>
        <w:rPr>
          <w:rFonts w:ascii="Times New Roman" w:hAnsi="Times New Roman"/>
          <w:sz w:val="24"/>
          <w:szCs w:val="24"/>
        </w:rPr>
        <w:t xml:space="preserve"> how they are being operated in a similar way and manner of the body corporate under the Nigerian corporate law. The Institutions which are subject matter of their examination include the State (</w:t>
      </w:r>
      <w:r>
        <w:rPr>
          <w:rFonts w:ascii="Times New Roman" w:hAnsi="Times New Roman"/>
          <w:i/>
          <w:iCs/>
          <w:sz w:val="24"/>
          <w:szCs w:val="24"/>
        </w:rPr>
        <w:t>Ad</w:t>
      </w:r>
      <w:r>
        <w:rPr>
          <w:rFonts w:ascii="Times New Roman" w:hAnsi="Times New Roman"/>
          <w:sz w:val="24"/>
          <w:szCs w:val="24"/>
        </w:rPr>
        <w:t>-</w:t>
      </w:r>
      <w:proofErr w:type="spellStart"/>
      <w:r>
        <w:rPr>
          <w:rFonts w:ascii="Times New Roman" w:hAnsi="Times New Roman"/>
          <w:i/>
          <w:iCs/>
          <w:sz w:val="24"/>
          <w:szCs w:val="24"/>
        </w:rPr>
        <w:t>Dawlah</w:t>
      </w:r>
      <w:proofErr w:type="spellEnd"/>
      <w:r>
        <w:rPr>
          <w:rFonts w:ascii="Times New Roman" w:hAnsi="Times New Roman"/>
          <w:sz w:val="24"/>
          <w:szCs w:val="24"/>
        </w:rPr>
        <w:t>), Public Treasury (</w:t>
      </w:r>
      <w:proofErr w:type="spellStart"/>
      <w:r>
        <w:rPr>
          <w:rFonts w:ascii="Times New Roman" w:hAnsi="Times New Roman"/>
          <w:i/>
          <w:iCs/>
          <w:sz w:val="24"/>
          <w:szCs w:val="24"/>
        </w:rPr>
        <w:t>BaytulMal</w:t>
      </w:r>
      <w:proofErr w:type="spellEnd"/>
      <w:r>
        <w:rPr>
          <w:rFonts w:ascii="Times New Roman" w:hAnsi="Times New Roman"/>
          <w:sz w:val="24"/>
          <w:szCs w:val="24"/>
        </w:rPr>
        <w:t>), Hospital (</w:t>
      </w:r>
      <w:proofErr w:type="spellStart"/>
      <w:r>
        <w:rPr>
          <w:rFonts w:ascii="Times New Roman" w:hAnsi="Times New Roman"/>
          <w:i/>
          <w:iCs/>
          <w:sz w:val="24"/>
          <w:szCs w:val="24"/>
        </w:rPr>
        <w:t>Mustashfa</w:t>
      </w:r>
      <w:proofErr w:type="spellEnd"/>
      <w:r>
        <w:rPr>
          <w:rFonts w:ascii="Times New Roman" w:hAnsi="Times New Roman"/>
          <w:sz w:val="24"/>
          <w:szCs w:val="24"/>
        </w:rPr>
        <w:t>) and Mosque (</w:t>
      </w:r>
      <w:proofErr w:type="spellStart"/>
      <w:r>
        <w:rPr>
          <w:rFonts w:ascii="Times New Roman" w:hAnsi="Times New Roman"/>
          <w:i/>
          <w:iCs/>
          <w:sz w:val="24"/>
          <w:szCs w:val="24"/>
        </w:rPr>
        <w:t>Mosjid</w:t>
      </w:r>
      <w:proofErr w:type="spellEnd"/>
      <w:r>
        <w:rPr>
          <w:rFonts w:ascii="Times New Roman" w:hAnsi="Times New Roman"/>
          <w:sz w:val="24"/>
          <w:szCs w:val="24"/>
        </w:rPr>
        <w:t>).</w:t>
      </w:r>
      <w:r>
        <w:rPr>
          <w:rStyle w:val="FootnoteReference"/>
          <w:rFonts w:ascii="Times New Roman" w:hAnsi="Times New Roman"/>
          <w:sz w:val="24"/>
          <w:szCs w:val="24"/>
        </w:rPr>
        <w:footnoteReference w:id="69"/>
      </w:r>
      <w:r>
        <w:rPr>
          <w:rFonts w:ascii="Times New Roman" w:hAnsi="Times New Roman"/>
          <w:sz w:val="24"/>
          <w:szCs w:val="24"/>
        </w:rPr>
        <w:t xml:space="preserve"> The Protagonists maintained that the foregoing </w:t>
      </w:r>
      <w:r w:rsidRPr="00C32025">
        <w:rPr>
          <w:rFonts w:ascii="Times New Roman" w:hAnsi="Times New Roman"/>
          <w:sz w:val="24"/>
          <w:szCs w:val="24"/>
        </w:rPr>
        <w:lastRenderedPageBreak/>
        <w:t>institutions</w:t>
      </w:r>
      <w:r>
        <w:rPr>
          <w:rFonts w:ascii="Times New Roman" w:hAnsi="Times New Roman"/>
          <w:sz w:val="24"/>
          <w:szCs w:val="24"/>
        </w:rPr>
        <w:t xml:space="preserve"> exist in abstraction under </w:t>
      </w:r>
      <w:proofErr w:type="spellStart"/>
      <w:r>
        <w:rPr>
          <w:rFonts w:ascii="Times New Roman" w:hAnsi="Times New Roman"/>
          <w:sz w:val="24"/>
          <w:szCs w:val="24"/>
        </w:rPr>
        <w:t>Shari’ah</w:t>
      </w:r>
      <w:proofErr w:type="spellEnd"/>
      <w:r>
        <w:rPr>
          <w:rFonts w:ascii="Times New Roman" w:hAnsi="Times New Roman"/>
          <w:sz w:val="24"/>
          <w:szCs w:val="24"/>
        </w:rPr>
        <w:t xml:space="preserve"> but </w:t>
      </w:r>
      <w:r w:rsidRPr="008C0A85">
        <w:rPr>
          <w:rFonts w:ascii="Times New Roman" w:hAnsi="Times New Roman"/>
          <w:sz w:val="24"/>
          <w:szCs w:val="24"/>
        </w:rPr>
        <w:t>their</w:t>
      </w:r>
      <w:r>
        <w:rPr>
          <w:rFonts w:ascii="Times New Roman" w:hAnsi="Times New Roman"/>
          <w:sz w:val="24"/>
          <w:szCs w:val="24"/>
        </w:rPr>
        <w:t xml:space="preserve"> operations, functionalities and interactions are regulated by certain natural persons as their alter ego. The aforementioned </w:t>
      </w:r>
      <w:r w:rsidRPr="00C32025">
        <w:rPr>
          <w:rFonts w:ascii="Times New Roman" w:hAnsi="Times New Roman"/>
          <w:sz w:val="24"/>
          <w:szCs w:val="24"/>
        </w:rPr>
        <w:t>institutions</w:t>
      </w:r>
      <w:r>
        <w:rPr>
          <w:rFonts w:ascii="Times New Roman" w:hAnsi="Times New Roman"/>
          <w:sz w:val="24"/>
          <w:szCs w:val="24"/>
        </w:rPr>
        <w:t xml:space="preserve"> are saddled with certain functions carried out on their behalf by human being in similar way to conventional corporate practices. Thus, it is beyond argument that these </w:t>
      </w:r>
      <w:r w:rsidRPr="00C32025">
        <w:rPr>
          <w:rFonts w:ascii="Times New Roman" w:hAnsi="Times New Roman"/>
          <w:sz w:val="24"/>
          <w:szCs w:val="24"/>
        </w:rPr>
        <w:t xml:space="preserve">institutions are </w:t>
      </w:r>
      <w:proofErr w:type="spellStart"/>
      <w:r w:rsidRPr="00C32025">
        <w:rPr>
          <w:rFonts w:ascii="Times New Roman" w:hAnsi="Times New Roman"/>
          <w:sz w:val="24"/>
          <w:szCs w:val="24"/>
        </w:rPr>
        <w:t>recognised</w:t>
      </w:r>
      <w:proofErr w:type="spellEnd"/>
      <w:r>
        <w:rPr>
          <w:rFonts w:ascii="Times New Roman" w:hAnsi="Times New Roman"/>
          <w:sz w:val="24"/>
          <w:szCs w:val="24"/>
        </w:rPr>
        <w:t xml:space="preserve"> under </w:t>
      </w:r>
      <w:proofErr w:type="spellStart"/>
      <w:r>
        <w:rPr>
          <w:rFonts w:ascii="Times New Roman" w:hAnsi="Times New Roman"/>
          <w:i/>
          <w:iCs/>
          <w:sz w:val="24"/>
          <w:szCs w:val="24"/>
        </w:rPr>
        <w:t>Shari’ah</w:t>
      </w:r>
      <w:proofErr w:type="spellEnd"/>
      <w:r>
        <w:rPr>
          <w:rFonts w:ascii="Times New Roman" w:hAnsi="Times New Roman"/>
          <w:sz w:val="24"/>
          <w:szCs w:val="24"/>
        </w:rPr>
        <w:t xml:space="preserve"> as having capacity to enter into contract, holding/owing lands, having bank account, giving and accepting donations amongst other functions similar to that of natural persons.</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Protagonists argued further that the so-called artificial institutions (</w:t>
      </w:r>
      <w:proofErr w:type="spellStart"/>
      <w:r>
        <w:rPr>
          <w:rFonts w:ascii="Times New Roman" w:hAnsi="Times New Roman"/>
          <w:i/>
          <w:iCs/>
          <w:sz w:val="24"/>
          <w:szCs w:val="24"/>
        </w:rPr>
        <w:t>Baytul</w:t>
      </w:r>
      <w:proofErr w:type="spellEnd"/>
      <w:r>
        <w:rPr>
          <w:rFonts w:ascii="Times New Roman" w:hAnsi="Times New Roman"/>
          <w:i/>
          <w:iCs/>
          <w:sz w:val="24"/>
          <w:szCs w:val="24"/>
        </w:rPr>
        <w:t xml:space="preserve"> Mal</w:t>
      </w:r>
      <w:r>
        <w:rPr>
          <w:rFonts w:ascii="Times New Roman" w:hAnsi="Times New Roman"/>
          <w:sz w:val="24"/>
          <w:szCs w:val="24"/>
        </w:rPr>
        <w:t xml:space="preserve">, </w:t>
      </w:r>
      <w:proofErr w:type="spellStart"/>
      <w:r>
        <w:rPr>
          <w:rFonts w:ascii="Times New Roman" w:hAnsi="Times New Roman"/>
          <w:i/>
          <w:iCs/>
          <w:sz w:val="24"/>
          <w:szCs w:val="24"/>
        </w:rPr>
        <w:t>Mosjid</w:t>
      </w:r>
      <w:proofErr w:type="spellEnd"/>
      <w:r>
        <w:rPr>
          <w:rFonts w:ascii="Times New Roman" w:hAnsi="Times New Roman"/>
          <w:i/>
          <w:iCs/>
          <w:sz w:val="24"/>
          <w:szCs w:val="24"/>
        </w:rPr>
        <w:t xml:space="preserve">, </w:t>
      </w:r>
      <w:proofErr w:type="spellStart"/>
      <w:r>
        <w:rPr>
          <w:rFonts w:ascii="Times New Roman" w:hAnsi="Times New Roman"/>
          <w:i/>
          <w:iCs/>
          <w:sz w:val="24"/>
          <w:szCs w:val="24"/>
        </w:rPr>
        <w:t>Mustashfa</w:t>
      </w:r>
      <w:proofErr w:type="spellEnd"/>
      <w:r>
        <w:rPr>
          <w:rFonts w:ascii="Times New Roman" w:hAnsi="Times New Roman"/>
          <w:i/>
          <w:iCs/>
          <w:sz w:val="24"/>
          <w:szCs w:val="24"/>
        </w:rPr>
        <w:t xml:space="preserve">, </w:t>
      </w:r>
      <w:proofErr w:type="spellStart"/>
      <w:r>
        <w:rPr>
          <w:rFonts w:ascii="Times New Roman" w:hAnsi="Times New Roman"/>
          <w:i/>
          <w:iCs/>
          <w:sz w:val="24"/>
          <w:szCs w:val="24"/>
        </w:rPr>
        <w:t>Dawlah</w:t>
      </w:r>
      <w:proofErr w:type="spellEnd"/>
      <w:r>
        <w:rPr>
          <w:rFonts w:ascii="Times New Roman" w:hAnsi="Times New Roman"/>
          <w:sz w:val="24"/>
          <w:szCs w:val="24"/>
        </w:rPr>
        <w:t xml:space="preserve"> etc.) are clothed with </w:t>
      </w:r>
      <w:proofErr w:type="spellStart"/>
      <w:r>
        <w:rPr>
          <w:rFonts w:ascii="Times New Roman" w:hAnsi="Times New Roman"/>
          <w:i/>
          <w:iCs/>
          <w:sz w:val="24"/>
          <w:szCs w:val="24"/>
        </w:rPr>
        <w:t>Dhimmah</w:t>
      </w:r>
      <w:proofErr w:type="spellEnd"/>
      <w:r>
        <w:rPr>
          <w:rFonts w:ascii="Times New Roman" w:hAnsi="Times New Roman"/>
          <w:sz w:val="24"/>
          <w:szCs w:val="24"/>
        </w:rPr>
        <w:t xml:space="preserve"> (i.e. ability to be imposed with obligations and the consequent discharge of the obligations).</w:t>
      </w:r>
      <w:r>
        <w:rPr>
          <w:rStyle w:val="FootnoteReference"/>
          <w:rFonts w:ascii="Times New Roman" w:hAnsi="Times New Roman"/>
          <w:sz w:val="24"/>
          <w:szCs w:val="24"/>
        </w:rPr>
        <w:footnoteReference w:id="70"/>
      </w:r>
      <w:r>
        <w:rPr>
          <w:rFonts w:ascii="Times New Roman" w:hAnsi="Times New Roman"/>
          <w:sz w:val="24"/>
          <w:szCs w:val="24"/>
        </w:rPr>
        <w:t xml:space="preserve"> Thus, concept of </w:t>
      </w:r>
      <w:r>
        <w:rPr>
          <w:rFonts w:ascii="Times New Roman" w:hAnsi="Times New Roman"/>
          <w:i/>
          <w:iCs/>
          <w:sz w:val="24"/>
          <w:szCs w:val="24"/>
        </w:rPr>
        <w:t>Al</w:t>
      </w:r>
      <w:r>
        <w:rPr>
          <w:rFonts w:ascii="Times New Roman" w:hAnsi="Times New Roman"/>
          <w:sz w:val="24"/>
          <w:szCs w:val="24"/>
        </w:rPr>
        <w:t>-</w:t>
      </w:r>
      <w:proofErr w:type="spellStart"/>
      <w:r>
        <w:rPr>
          <w:rFonts w:ascii="Times New Roman" w:hAnsi="Times New Roman"/>
          <w:i/>
          <w:iCs/>
          <w:sz w:val="24"/>
          <w:szCs w:val="24"/>
        </w:rPr>
        <w:t>Dhimmah</w:t>
      </w:r>
      <w:proofErr w:type="spellEnd"/>
      <w:r>
        <w:rPr>
          <w:rFonts w:ascii="Times New Roman" w:hAnsi="Times New Roman"/>
          <w:sz w:val="24"/>
          <w:szCs w:val="24"/>
        </w:rPr>
        <w:t xml:space="preserve"> under Islamic jurisprudence depicts conferment of obligation (</w:t>
      </w:r>
      <w:r>
        <w:rPr>
          <w:rFonts w:ascii="Times New Roman" w:hAnsi="Times New Roman"/>
          <w:i/>
          <w:iCs/>
          <w:sz w:val="24"/>
          <w:szCs w:val="24"/>
        </w:rPr>
        <w:t>Al</w:t>
      </w:r>
      <w:r>
        <w:rPr>
          <w:rFonts w:ascii="Times New Roman" w:hAnsi="Times New Roman"/>
          <w:sz w:val="24"/>
          <w:szCs w:val="24"/>
        </w:rPr>
        <w:t>-</w:t>
      </w:r>
      <w:proofErr w:type="spellStart"/>
      <w:r>
        <w:rPr>
          <w:rFonts w:ascii="Times New Roman" w:hAnsi="Times New Roman"/>
          <w:i/>
          <w:iCs/>
          <w:sz w:val="24"/>
          <w:szCs w:val="24"/>
        </w:rPr>
        <w:t>Iltizaamah</w:t>
      </w:r>
      <w:proofErr w:type="spellEnd"/>
      <w:r>
        <w:rPr>
          <w:rFonts w:ascii="Times New Roman" w:hAnsi="Times New Roman"/>
          <w:sz w:val="24"/>
          <w:szCs w:val="24"/>
        </w:rPr>
        <w:t>) and capacity (</w:t>
      </w:r>
      <w:r>
        <w:rPr>
          <w:rFonts w:ascii="Times New Roman" w:hAnsi="Times New Roman"/>
          <w:i/>
          <w:iCs/>
          <w:sz w:val="24"/>
          <w:szCs w:val="24"/>
        </w:rPr>
        <w:t>Al</w:t>
      </w:r>
      <w:r>
        <w:rPr>
          <w:rFonts w:ascii="Times New Roman" w:hAnsi="Times New Roman"/>
          <w:sz w:val="24"/>
          <w:szCs w:val="24"/>
        </w:rPr>
        <w:t>-</w:t>
      </w:r>
      <w:proofErr w:type="spellStart"/>
      <w:r>
        <w:rPr>
          <w:rFonts w:ascii="Times New Roman" w:hAnsi="Times New Roman"/>
          <w:i/>
          <w:iCs/>
          <w:sz w:val="24"/>
          <w:szCs w:val="24"/>
        </w:rPr>
        <w:t>Ahliyyah</w:t>
      </w:r>
      <w:proofErr w:type="spellEnd"/>
      <w:r>
        <w:rPr>
          <w:rFonts w:ascii="Times New Roman" w:hAnsi="Times New Roman"/>
          <w:sz w:val="24"/>
          <w:szCs w:val="24"/>
        </w:rPr>
        <w:t>) on a particular entity.</w:t>
      </w:r>
      <w:r>
        <w:rPr>
          <w:rStyle w:val="FootnoteReference"/>
          <w:rFonts w:ascii="Times New Roman" w:hAnsi="Times New Roman"/>
          <w:sz w:val="24"/>
          <w:szCs w:val="24"/>
        </w:rPr>
        <w:footnoteReference w:id="71"/>
      </w:r>
      <w:r>
        <w:rPr>
          <w:rFonts w:ascii="Times New Roman" w:hAnsi="Times New Roman"/>
          <w:sz w:val="24"/>
          <w:szCs w:val="24"/>
        </w:rPr>
        <w:t xml:space="preserve"> </w:t>
      </w:r>
      <w:r w:rsidRPr="00446EC9">
        <w:rPr>
          <w:rFonts w:ascii="Times New Roman" w:hAnsi="Times New Roman"/>
          <w:sz w:val="24"/>
          <w:szCs w:val="24"/>
        </w:rPr>
        <w:t xml:space="preserve">From </w:t>
      </w:r>
      <w:r>
        <w:rPr>
          <w:rFonts w:ascii="Times New Roman" w:hAnsi="Times New Roman"/>
          <w:sz w:val="24"/>
          <w:szCs w:val="24"/>
        </w:rPr>
        <w:t xml:space="preserve">the argument of the Protagonists, it is deducible that </w:t>
      </w:r>
      <w:r w:rsidRPr="00C32025">
        <w:rPr>
          <w:rFonts w:ascii="Times New Roman" w:hAnsi="Times New Roman"/>
          <w:sz w:val="24"/>
          <w:szCs w:val="24"/>
        </w:rPr>
        <w:t>hospital</w:t>
      </w:r>
      <w:r w:rsidRPr="003E53A1">
        <w:rPr>
          <w:rFonts w:ascii="Times New Roman" w:hAnsi="Times New Roman"/>
          <w:color w:val="FF0000"/>
          <w:sz w:val="24"/>
          <w:szCs w:val="24"/>
        </w:rPr>
        <w:t xml:space="preserve"> </w:t>
      </w:r>
      <w:r>
        <w:rPr>
          <w:rFonts w:ascii="Times New Roman" w:hAnsi="Times New Roman"/>
          <w:color w:val="FF0000"/>
          <w:sz w:val="24"/>
          <w:szCs w:val="24"/>
        </w:rPr>
        <w:t>(</w:t>
      </w:r>
      <w:r>
        <w:rPr>
          <w:rFonts w:ascii="Times New Roman" w:hAnsi="Times New Roman"/>
          <w:i/>
          <w:iCs/>
          <w:sz w:val="24"/>
          <w:szCs w:val="24"/>
        </w:rPr>
        <w:t>Al</w:t>
      </w:r>
      <w:r>
        <w:rPr>
          <w:rFonts w:ascii="Times New Roman" w:hAnsi="Times New Roman"/>
          <w:sz w:val="24"/>
          <w:szCs w:val="24"/>
        </w:rPr>
        <w:t>-</w:t>
      </w:r>
      <w:proofErr w:type="spellStart"/>
      <w:r>
        <w:rPr>
          <w:rFonts w:ascii="Times New Roman" w:hAnsi="Times New Roman"/>
          <w:i/>
          <w:iCs/>
          <w:sz w:val="24"/>
          <w:szCs w:val="24"/>
        </w:rPr>
        <w:t>Mustashfa</w:t>
      </w:r>
      <w:proofErr w:type="spellEnd"/>
      <w:r>
        <w:rPr>
          <w:rFonts w:ascii="Times New Roman" w:hAnsi="Times New Roman"/>
          <w:i/>
          <w:iCs/>
          <w:sz w:val="24"/>
          <w:szCs w:val="24"/>
        </w:rPr>
        <w:t>)</w:t>
      </w:r>
      <w:r>
        <w:rPr>
          <w:rFonts w:ascii="Times New Roman" w:hAnsi="Times New Roman"/>
          <w:sz w:val="24"/>
          <w:szCs w:val="24"/>
        </w:rPr>
        <w:t xml:space="preserve"> is an institution that is imposed with obligation to treat the sick in the same way </w:t>
      </w:r>
      <w:r>
        <w:rPr>
          <w:rFonts w:ascii="Times New Roman" w:hAnsi="Times New Roman"/>
          <w:i/>
          <w:iCs/>
          <w:sz w:val="24"/>
          <w:szCs w:val="24"/>
        </w:rPr>
        <w:t>Ad</w:t>
      </w:r>
      <w:r>
        <w:rPr>
          <w:rFonts w:ascii="Times New Roman" w:hAnsi="Times New Roman"/>
          <w:sz w:val="24"/>
          <w:szCs w:val="24"/>
        </w:rPr>
        <w:t>-</w:t>
      </w:r>
      <w:proofErr w:type="spellStart"/>
      <w:r>
        <w:rPr>
          <w:rFonts w:ascii="Times New Roman" w:hAnsi="Times New Roman"/>
          <w:i/>
          <w:iCs/>
          <w:sz w:val="24"/>
          <w:szCs w:val="24"/>
        </w:rPr>
        <w:t>Dawlah</w:t>
      </w:r>
      <w:proofErr w:type="spellEnd"/>
      <w:r>
        <w:rPr>
          <w:rFonts w:ascii="Times New Roman" w:hAnsi="Times New Roman"/>
          <w:sz w:val="24"/>
          <w:szCs w:val="24"/>
        </w:rPr>
        <w:t xml:space="preserve"> (State) has the obligation imposed on it to protect its citizenry. The obligation imposed on these institutions are discharged on their behalf by Muslims directing their affairs such as </w:t>
      </w:r>
      <w:proofErr w:type="spellStart"/>
      <w:r>
        <w:rPr>
          <w:rFonts w:ascii="Times New Roman" w:hAnsi="Times New Roman"/>
          <w:i/>
          <w:iCs/>
          <w:sz w:val="24"/>
          <w:szCs w:val="24"/>
        </w:rPr>
        <w:t>Saahib</w:t>
      </w:r>
      <w:proofErr w:type="spellEnd"/>
      <w:r>
        <w:rPr>
          <w:rFonts w:ascii="Times New Roman" w:hAnsi="Times New Roman"/>
          <w:i/>
          <w:iCs/>
          <w:sz w:val="24"/>
          <w:szCs w:val="24"/>
        </w:rPr>
        <w:t xml:space="preserve"> al-</w:t>
      </w:r>
      <w:proofErr w:type="spellStart"/>
      <w:r>
        <w:rPr>
          <w:rFonts w:ascii="Times New Roman" w:hAnsi="Times New Roman"/>
          <w:i/>
          <w:iCs/>
          <w:sz w:val="24"/>
          <w:szCs w:val="24"/>
        </w:rPr>
        <w:t>Baytul</w:t>
      </w:r>
      <w:proofErr w:type="spellEnd"/>
      <w:r>
        <w:rPr>
          <w:rFonts w:ascii="Times New Roman" w:hAnsi="Times New Roman"/>
          <w:i/>
          <w:iCs/>
          <w:sz w:val="24"/>
          <w:szCs w:val="24"/>
        </w:rPr>
        <w:t xml:space="preserve"> Mal</w:t>
      </w:r>
      <w:r>
        <w:rPr>
          <w:rFonts w:ascii="Times New Roman" w:hAnsi="Times New Roman"/>
          <w:sz w:val="24"/>
          <w:szCs w:val="24"/>
        </w:rPr>
        <w:t xml:space="preserve"> i.e. the manager of the Public Treasury; </w:t>
      </w:r>
      <w:proofErr w:type="spellStart"/>
      <w:r w:rsidRPr="00393C63">
        <w:rPr>
          <w:rFonts w:ascii="Times New Roman" w:hAnsi="Times New Roman"/>
          <w:i/>
          <w:iCs/>
          <w:sz w:val="24"/>
          <w:szCs w:val="24"/>
        </w:rPr>
        <w:t>Tabeeb</w:t>
      </w:r>
      <w:proofErr w:type="spellEnd"/>
      <w:r>
        <w:rPr>
          <w:rFonts w:ascii="Times New Roman" w:hAnsi="Times New Roman"/>
          <w:sz w:val="24"/>
          <w:szCs w:val="24"/>
        </w:rPr>
        <w:t xml:space="preserve"> (Doctors)/</w:t>
      </w:r>
      <w:proofErr w:type="spellStart"/>
      <w:r w:rsidRPr="00854485">
        <w:rPr>
          <w:rFonts w:ascii="Times New Roman" w:hAnsi="Times New Roman"/>
          <w:i/>
          <w:iCs/>
          <w:sz w:val="24"/>
          <w:szCs w:val="24"/>
        </w:rPr>
        <w:t>Mumarreed</w:t>
      </w:r>
      <w:proofErr w:type="spellEnd"/>
      <w:r>
        <w:rPr>
          <w:rFonts w:ascii="Times New Roman" w:hAnsi="Times New Roman"/>
          <w:sz w:val="24"/>
          <w:szCs w:val="24"/>
        </w:rPr>
        <w:t xml:space="preserve"> (Nurses) in the case of hospital (</w:t>
      </w:r>
      <w:proofErr w:type="spellStart"/>
      <w:r>
        <w:rPr>
          <w:rFonts w:ascii="Times New Roman" w:hAnsi="Times New Roman"/>
          <w:i/>
          <w:iCs/>
          <w:sz w:val="24"/>
          <w:szCs w:val="24"/>
        </w:rPr>
        <w:t>Mustashfa</w:t>
      </w:r>
      <w:proofErr w:type="spellEnd"/>
      <w:r>
        <w:rPr>
          <w:rFonts w:ascii="Times New Roman" w:hAnsi="Times New Roman"/>
          <w:i/>
          <w:iCs/>
          <w:sz w:val="24"/>
          <w:szCs w:val="24"/>
        </w:rPr>
        <w:t>)</w:t>
      </w:r>
      <w:r>
        <w:rPr>
          <w:rFonts w:ascii="Times New Roman" w:hAnsi="Times New Roman"/>
          <w:sz w:val="24"/>
          <w:szCs w:val="24"/>
        </w:rPr>
        <w:t xml:space="preserve">; </w:t>
      </w:r>
      <w:r w:rsidRPr="00B822CC">
        <w:rPr>
          <w:rFonts w:ascii="Times New Roman" w:hAnsi="Times New Roman"/>
          <w:i/>
          <w:iCs/>
          <w:sz w:val="24"/>
          <w:szCs w:val="24"/>
        </w:rPr>
        <w:t>Amir</w:t>
      </w:r>
      <w:r>
        <w:rPr>
          <w:rFonts w:ascii="Times New Roman" w:hAnsi="Times New Roman"/>
          <w:sz w:val="24"/>
          <w:szCs w:val="24"/>
        </w:rPr>
        <w:t xml:space="preserve"> and his chiefs in the case </w:t>
      </w:r>
      <w:proofErr w:type="spellStart"/>
      <w:r>
        <w:rPr>
          <w:rFonts w:ascii="Times New Roman" w:hAnsi="Times New Roman"/>
          <w:i/>
          <w:iCs/>
          <w:sz w:val="24"/>
          <w:szCs w:val="24"/>
        </w:rPr>
        <w:t>Dawlah</w:t>
      </w:r>
      <w:proofErr w:type="spellEnd"/>
      <w:r>
        <w:rPr>
          <w:rFonts w:ascii="Times New Roman" w:hAnsi="Times New Roman"/>
          <w:sz w:val="24"/>
          <w:szCs w:val="24"/>
        </w:rPr>
        <w:t xml:space="preserve"> (State); and </w:t>
      </w:r>
      <w:r w:rsidRPr="00B822CC">
        <w:rPr>
          <w:rFonts w:ascii="Times New Roman" w:hAnsi="Times New Roman"/>
          <w:i/>
          <w:iCs/>
          <w:sz w:val="24"/>
          <w:szCs w:val="24"/>
        </w:rPr>
        <w:t>Imam</w:t>
      </w:r>
      <w:r>
        <w:rPr>
          <w:rFonts w:ascii="Times New Roman" w:hAnsi="Times New Roman"/>
          <w:sz w:val="24"/>
          <w:szCs w:val="24"/>
        </w:rPr>
        <w:t xml:space="preserve"> and other committee members in the case of </w:t>
      </w:r>
      <w:r>
        <w:rPr>
          <w:rFonts w:ascii="Times New Roman" w:hAnsi="Times New Roman"/>
          <w:i/>
          <w:iCs/>
          <w:sz w:val="24"/>
          <w:szCs w:val="24"/>
        </w:rPr>
        <w:t>Masjid</w:t>
      </w:r>
      <w:r>
        <w:rPr>
          <w:rFonts w:ascii="Times New Roman" w:hAnsi="Times New Roman"/>
          <w:sz w:val="24"/>
          <w:szCs w:val="24"/>
        </w:rPr>
        <w:t xml:space="preserve"> (Mosque). Thus, the artificial persons are able to exist through the instrumentality of </w:t>
      </w:r>
      <w:proofErr w:type="spellStart"/>
      <w:r>
        <w:rPr>
          <w:rFonts w:ascii="Times New Roman" w:hAnsi="Times New Roman"/>
          <w:i/>
          <w:iCs/>
          <w:sz w:val="24"/>
          <w:szCs w:val="24"/>
        </w:rPr>
        <w:t>Dhimmah</w:t>
      </w:r>
      <w:proofErr w:type="spellEnd"/>
      <w:r>
        <w:rPr>
          <w:rFonts w:ascii="Times New Roman" w:hAnsi="Times New Roman"/>
          <w:sz w:val="24"/>
          <w:szCs w:val="24"/>
        </w:rPr>
        <w:t>.</w:t>
      </w:r>
      <w:r>
        <w:rPr>
          <w:rStyle w:val="FootnoteReference"/>
          <w:rFonts w:ascii="Times New Roman" w:hAnsi="Times New Roman"/>
          <w:sz w:val="24"/>
          <w:szCs w:val="24"/>
        </w:rPr>
        <w:footnoteReference w:id="72"/>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The forgoing position of the Protagonists with respect to firm recognition of artificial personality has culminated into source of inspiration for some Muslim dominated States to begin to impose </w:t>
      </w:r>
      <w:r>
        <w:rPr>
          <w:rFonts w:ascii="Times New Roman" w:hAnsi="Times New Roman"/>
          <w:i/>
          <w:iCs/>
          <w:sz w:val="24"/>
          <w:szCs w:val="24"/>
        </w:rPr>
        <w:t>Zakat</w:t>
      </w:r>
      <w:r>
        <w:rPr>
          <w:rFonts w:ascii="Times New Roman" w:hAnsi="Times New Roman"/>
          <w:sz w:val="24"/>
          <w:szCs w:val="24"/>
        </w:rPr>
        <w:t xml:space="preserve"> (Compulsory Charity) on corporations.</w:t>
      </w:r>
      <w:r>
        <w:rPr>
          <w:rStyle w:val="FootnoteReference"/>
          <w:rFonts w:ascii="Times New Roman" w:hAnsi="Times New Roman"/>
          <w:sz w:val="24"/>
          <w:szCs w:val="24"/>
        </w:rPr>
        <w:footnoteReference w:id="73"/>
      </w:r>
      <w:r>
        <w:rPr>
          <w:rFonts w:ascii="Times New Roman" w:hAnsi="Times New Roman"/>
          <w:sz w:val="24"/>
          <w:szCs w:val="24"/>
        </w:rPr>
        <w:t xml:space="preserve"> </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The position of Hanafi School is that everything is considered </w:t>
      </w:r>
      <w:r w:rsidRPr="00244A57">
        <w:rPr>
          <w:rFonts w:ascii="Times New Roman" w:hAnsi="Times New Roman"/>
          <w:i/>
          <w:sz w:val="24"/>
          <w:szCs w:val="24"/>
        </w:rPr>
        <w:t>Halal</w:t>
      </w:r>
      <w:r>
        <w:rPr>
          <w:rFonts w:ascii="Times New Roman" w:hAnsi="Times New Roman"/>
          <w:sz w:val="24"/>
          <w:szCs w:val="24"/>
        </w:rPr>
        <w:t xml:space="preserve"> (lawful) unless made </w:t>
      </w:r>
      <w:r w:rsidRPr="00244A57">
        <w:rPr>
          <w:rFonts w:ascii="Times New Roman" w:hAnsi="Times New Roman"/>
          <w:i/>
          <w:sz w:val="24"/>
          <w:szCs w:val="24"/>
        </w:rPr>
        <w:t>Haram</w:t>
      </w:r>
      <w:r>
        <w:rPr>
          <w:rFonts w:ascii="Times New Roman" w:hAnsi="Times New Roman"/>
          <w:sz w:val="24"/>
          <w:szCs w:val="24"/>
        </w:rPr>
        <w:t xml:space="preserve"> (forbidden) by </w:t>
      </w:r>
      <w:proofErr w:type="spellStart"/>
      <w:r>
        <w:rPr>
          <w:rFonts w:ascii="Times New Roman" w:hAnsi="Times New Roman"/>
          <w:sz w:val="24"/>
          <w:szCs w:val="24"/>
        </w:rPr>
        <w:t>Shari’ah</w:t>
      </w:r>
      <w:proofErr w:type="spellEnd"/>
      <w:r>
        <w:rPr>
          <w:rFonts w:ascii="Times New Roman" w:hAnsi="Times New Roman"/>
          <w:sz w:val="24"/>
          <w:szCs w:val="24"/>
        </w:rPr>
        <w:t>.</w:t>
      </w:r>
      <w:r>
        <w:rPr>
          <w:rStyle w:val="FootnoteReference"/>
          <w:rFonts w:ascii="Times New Roman" w:hAnsi="Times New Roman"/>
          <w:sz w:val="24"/>
          <w:szCs w:val="24"/>
        </w:rPr>
        <w:footnoteReference w:id="74"/>
      </w:r>
      <w:r>
        <w:rPr>
          <w:rFonts w:ascii="Times New Roman" w:hAnsi="Times New Roman"/>
          <w:sz w:val="24"/>
          <w:szCs w:val="24"/>
        </w:rPr>
        <w:t xml:space="preserve"> To this end, a corporation can engage in business in so far that such </w:t>
      </w:r>
      <w:r>
        <w:rPr>
          <w:rFonts w:ascii="Times New Roman" w:hAnsi="Times New Roman"/>
          <w:sz w:val="24"/>
          <w:szCs w:val="24"/>
        </w:rPr>
        <w:lastRenderedPageBreak/>
        <w:t xml:space="preserve">business does not offend the tenet of </w:t>
      </w:r>
      <w:proofErr w:type="spellStart"/>
      <w:r>
        <w:rPr>
          <w:rFonts w:ascii="Times New Roman" w:hAnsi="Times New Roman"/>
          <w:sz w:val="24"/>
          <w:szCs w:val="24"/>
        </w:rPr>
        <w:t>Shari’ah</w:t>
      </w:r>
      <w:proofErr w:type="spellEnd"/>
      <w:r>
        <w:rPr>
          <w:rFonts w:ascii="Times New Roman" w:hAnsi="Times New Roman"/>
          <w:sz w:val="24"/>
          <w:szCs w:val="24"/>
        </w:rPr>
        <w:t xml:space="preserve">. Invariably, existence of corporation as an artificial person is permissible provided such existence is not exploited to defeat the purpose of </w:t>
      </w:r>
      <w:proofErr w:type="spellStart"/>
      <w:r>
        <w:rPr>
          <w:rFonts w:ascii="Times New Roman" w:hAnsi="Times New Roman"/>
          <w:sz w:val="24"/>
          <w:szCs w:val="24"/>
        </w:rPr>
        <w:t>Shari’ah</w:t>
      </w:r>
      <w:proofErr w:type="spellEnd"/>
      <w:r>
        <w:rPr>
          <w:rFonts w:ascii="Times New Roman" w:hAnsi="Times New Roman"/>
          <w:sz w:val="24"/>
          <w:szCs w:val="24"/>
        </w:rPr>
        <w:t xml:space="preserve">. </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According to </w:t>
      </w:r>
      <w:proofErr w:type="spellStart"/>
      <w:r>
        <w:rPr>
          <w:rFonts w:ascii="Times New Roman" w:hAnsi="Times New Roman"/>
          <w:sz w:val="24"/>
          <w:szCs w:val="24"/>
        </w:rPr>
        <w:t>Shafi’i</w:t>
      </w:r>
      <w:proofErr w:type="spellEnd"/>
      <w:r>
        <w:rPr>
          <w:rFonts w:ascii="Times New Roman" w:hAnsi="Times New Roman"/>
          <w:sz w:val="24"/>
          <w:szCs w:val="24"/>
        </w:rPr>
        <w:t xml:space="preserve"> School, it is specifically propounded that when more than one person entered into a partnership for business purpose, the rule of Compulsory Charity (</w:t>
      </w:r>
      <w:r w:rsidRPr="00D21692">
        <w:rPr>
          <w:rFonts w:ascii="Times New Roman" w:hAnsi="Times New Roman"/>
          <w:i/>
          <w:sz w:val="24"/>
          <w:szCs w:val="24"/>
        </w:rPr>
        <w:t>Zakat</w:t>
      </w:r>
      <w:r>
        <w:rPr>
          <w:rFonts w:ascii="Times New Roman" w:hAnsi="Times New Roman"/>
          <w:sz w:val="24"/>
          <w:szCs w:val="24"/>
        </w:rPr>
        <w:t>) is applicable to them jointly and severally.</w:t>
      </w:r>
      <w:r>
        <w:rPr>
          <w:rStyle w:val="FootnoteReference"/>
          <w:rFonts w:ascii="Times New Roman" w:hAnsi="Times New Roman"/>
          <w:sz w:val="24"/>
          <w:szCs w:val="24"/>
        </w:rPr>
        <w:footnoteReference w:id="75"/>
      </w:r>
      <w:r>
        <w:rPr>
          <w:rFonts w:ascii="Times New Roman" w:hAnsi="Times New Roman"/>
          <w:sz w:val="24"/>
          <w:szCs w:val="24"/>
        </w:rPr>
        <w:t xml:space="preserve"> Hence, individual is obligated to pay Zakat if his earnings satisfies the condition precedents and at the same time, their joint stock as a whole is </w:t>
      </w:r>
      <w:proofErr w:type="spellStart"/>
      <w:r w:rsidRPr="00D21692">
        <w:rPr>
          <w:rFonts w:ascii="Times New Roman" w:hAnsi="Times New Roman"/>
          <w:i/>
          <w:sz w:val="24"/>
          <w:szCs w:val="24"/>
        </w:rPr>
        <w:t>Zakatable</w:t>
      </w:r>
      <w:proofErr w:type="spellEnd"/>
      <w:r>
        <w:rPr>
          <w:rStyle w:val="FootnoteReference"/>
          <w:rFonts w:ascii="Times New Roman" w:hAnsi="Times New Roman"/>
          <w:i/>
          <w:sz w:val="24"/>
          <w:szCs w:val="24"/>
        </w:rPr>
        <w:footnoteReference w:id="76"/>
      </w:r>
      <w:r>
        <w:rPr>
          <w:rFonts w:ascii="Times New Roman" w:hAnsi="Times New Roman"/>
          <w:sz w:val="24"/>
          <w:szCs w:val="24"/>
        </w:rPr>
        <w:t xml:space="preserve"> even though individual share is less than </w:t>
      </w:r>
      <w:proofErr w:type="spellStart"/>
      <w:r w:rsidRPr="00D21692">
        <w:rPr>
          <w:rFonts w:ascii="Times New Roman" w:hAnsi="Times New Roman"/>
          <w:i/>
          <w:sz w:val="24"/>
          <w:szCs w:val="24"/>
        </w:rPr>
        <w:t>Nisab</w:t>
      </w:r>
      <w:proofErr w:type="spellEnd"/>
      <w:r>
        <w:rPr>
          <w:rFonts w:ascii="Times New Roman" w:hAnsi="Times New Roman"/>
          <w:sz w:val="24"/>
          <w:szCs w:val="24"/>
        </w:rPr>
        <w:t xml:space="preserve"> (minimum amount of money on which </w:t>
      </w:r>
      <w:r w:rsidRPr="00D21692">
        <w:rPr>
          <w:rFonts w:ascii="Times New Roman" w:hAnsi="Times New Roman"/>
          <w:i/>
          <w:sz w:val="24"/>
          <w:szCs w:val="24"/>
        </w:rPr>
        <w:t>Zakat</w:t>
      </w:r>
      <w:r>
        <w:rPr>
          <w:rFonts w:ascii="Times New Roman" w:hAnsi="Times New Roman"/>
          <w:sz w:val="24"/>
          <w:szCs w:val="24"/>
        </w:rPr>
        <w:t xml:space="preserve"> is payable).</w:t>
      </w:r>
      <w:r>
        <w:rPr>
          <w:rStyle w:val="FootnoteReference"/>
          <w:rFonts w:ascii="Times New Roman" w:hAnsi="Times New Roman"/>
          <w:sz w:val="24"/>
          <w:szCs w:val="24"/>
        </w:rPr>
        <w:footnoteReference w:id="77"/>
      </w:r>
      <w:r>
        <w:rPr>
          <w:rFonts w:ascii="Times New Roman" w:hAnsi="Times New Roman"/>
          <w:sz w:val="24"/>
          <w:szCs w:val="24"/>
        </w:rPr>
        <w:t xml:space="preserve"> Thus, the sanction of payment of Zakat on partnership joint stock signifies that it is treated as an entity different from the individual that formed it. This laid to rest that the concept of artificial personality enjoys recognition in Islamic jurisprudence.</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Unlike what is obtainable in the in the Nigerian corporate law, there is dearth of decided cases on recognition of corporate personality under </w:t>
      </w:r>
      <w:proofErr w:type="spellStart"/>
      <w:r>
        <w:rPr>
          <w:rFonts w:ascii="Times New Roman" w:hAnsi="Times New Roman"/>
          <w:sz w:val="24"/>
          <w:szCs w:val="24"/>
        </w:rPr>
        <w:t>Shari’ah</w:t>
      </w:r>
      <w:proofErr w:type="spellEnd"/>
      <w:r>
        <w:rPr>
          <w:rFonts w:ascii="Times New Roman" w:hAnsi="Times New Roman"/>
          <w:sz w:val="24"/>
          <w:szCs w:val="24"/>
        </w:rPr>
        <w:t xml:space="preserve">. Recourse is usually made to the opinions of scholars within the context of </w:t>
      </w:r>
      <w:proofErr w:type="spellStart"/>
      <w:r w:rsidRPr="000F029B">
        <w:rPr>
          <w:rFonts w:ascii="Times New Roman" w:hAnsi="Times New Roman"/>
          <w:i/>
          <w:sz w:val="24"/>
          <w:szCs w:val="24"/>
        </w:rPr>
        <w:t>Maqasidus</w:t>
      </w:r>
      <w:proofErr w:type="spellEnd"/>
      <w:r w:rsidRPr="000F029B">
        <w:rPr>
          <w:rFonts w:ascii="Times New Roman" w:hAnsi="Times New Roman"/>
          <w:i/>
          <w:sz w:val="24"/>
          <w:szCs w:val="24"/>
        </w:rPr>
        <w:t xml:space="preserve"> </w:t>
      </w:r>
      <w:proofErr w:type="spellStart"/>
      <w:r w:rsidRPr="000F029B">
        <w:rPr>
          <w:rFonts w:ascii="Times New Roman" w:hAnsi="Times New Roman"/>
          <w:i/>
          <w:sz w:val="24"/>
          <w:szCs w:val="24"/>
        </w:rPr>
        <w:t>Shari’ah</w:t>
      </w:r>
      <w:proofErr w:type="spellEnd"/>
      <w:r>
        <w:rPr>
          <w:rFonts w:ascii="Times New Roman" w:hAnsi="Times New Roman"/>
          <w:sz w:val="24"/>
          <w:szCs w:val="24"/>
        </w:rPr>
        <w:t xml:space="preserve"> (Objective of Islamic Law). The reason being that, the primary procedure for emergence and existence of corporations is regulated by the Nigerian corporate law. However, after the birth of those corporations, the rules of </w:t>
      </w:r>
      <w:proofErr w:type="spellStart"/>
      <w:r>
        <w:rPr>
          <w:rFonts w:ascii="Times New Roman" w:hAnsi="Times New Roman"/>
          <w:sz w:val="24"/>
          <w:szCs w:val="24"/>
        </w:rPr>
        <w:t>Shari’ah</w:t>
      </w:r>
      <w:proofErr w:type="spellEnd"/>
      <w:r>
        <w:rPr>
          <w:rFonts w:ascii="Times New Roman" w:hAnsi="Times New Roman"/>
          <w:sz w:val="24"/>
          <w:szCs w:val="24"/>
        </w:rPr>
        <w:t xml:space="preserve"> come to being with respect to their governance structure and business operations.       </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In view of the above, there have been cases of emergence of a number of companies operating within the </w:t>
      </w:r>
      <w:proofErr w:type="spellStart"/>
      <w:r>
        <w:rPr>
          <w:rFonts w:ascii="Times New Roman" w:hAnsi="Times New Roman"/>
          <w:sz w:val="24"/>
          <w:szCs w:val="24"/>
        </w:rPr>
        <w:t>Shari’ah</w:t>
      </w:r>
      <w:proofErr w:type="spellEnd"/>
      <w:r>
        <w:rPr>
          <w:rFonts w:ascii="Times New Roman" w:hAnsi="Times New Roman"/>
          <w:sz w:val="24"/>
          <w:szCs w:val="24"/>
        </w:rPr>
        <w:t xml:space="preserve"> precept. The companies vary in terms of nature and purpose of incorporation as there are joint stock companies, insurance companies, Islamic bank’s corporations, and Islamic capital market companies etc. Nigeria is blessed with JAIZ Bank</w:t>
      </w:r>
      <w:r>
        <w:rPr>
          <w:rStyle w:val="FootnoteReference"/>
          <w:rFonts w:ascii="Times New Roman" w:hAnsi="Times New Roman"/>
          <w:sz w:val="24"/>
          <w:szCs w:val="24"/>
        </w:rPr>
        <w:footnoteReference w:id="78"/>
      </w:r>
      <w:r>
        <w:rPr>
          <w:rFonts w:ascii="Times New Roman" w:hAnsi="Times New Roman"/>
          <w:sz w:val="24"/>
          <w:szCs w:val="24"/>
        </w:rPr>
        <w:t xml:space="preserve"> as a foremost Islamic company in Nigeria. Country like Malaysia, as one of the leading countries in terms of existence of corporations dealing in Islamic banking, is blessed with Islamic corporations like Bank Negara Malaysia,</w:t>
      </w:r>
      <w:r>
        <w:rPr>
          <w:rStyle w:val="FootnoteReference"/>
          <w:rFonts w:ascii="Times New Roman" w:hAnsi="Times New Roman"/>
          <w:sz w:val="24"/>
          <w:szCs w:val="24"/>
        </w:rPr>
        <w:footnoteReference w:id="79"/>
      </w:r>
      <w:r>
        <w:rPr>
          <w:rFonts w:ascii="Times New Roman" w:hAnsi="Times New Roman"/>
          <w:sz w:val="24"/>
          <w:szCs w:val="24"/>
        </w:rPr>
        <w:t xml:space="preserve"> Alliance Islamic Bank, Bank </w:t>
      </w:r>
      <w:proofErr w:type="spellStart"/>
      <w:r>
        <w:rPr>
          <w:rFonts w:ascii="Times New Roman" w:hAnsi="Times New Roman"/>
          <w:sz w:val="24"/>
          <w:szCs w:val="24"/>
        </w:rPr>
        <w:t>Muamalat</w:t>
      </w:r>
      <w:proofErr w:type="spellEnd"/>
      <w:r>
        <w:rPr>
          <w:rFonts w:ascii="Times New Roman" w:hAnsi="Times New Roman"/>
          <w:sz w:val="24"/>
          <w:szCs w:val="24"/>
        </w:rPr>
        <w:t xml:space="preserve">, </w:t>
      </w:r>
      <w:proofErr w:type="spellStart"/>
      <w:r>
        <w:rPr>
          <w:rFonts w:ascii="Times New Roman" w:hAnsi="Times New Roman"/>
          <w:sz w:val="24"/>
          <w:szCs w:val="24"/>
        </w:rPr>
        <w:t>Amlslamic</w:t>
      </w:r>
      <w:proofErr w:type="spellEnd"/>
      <w:r>
        <w:rPr>
          <w:rFonts w:ascii="Times New Roman" w:hAnsi="Times New Roman"/>
          <w:sz w:val="24"/>
          <w:szCs w:val="24"/>
        </w:rPr>
        <w:t xml:space="preserve"> Bank, Standard Chartered </w:t>
      </w:r>
      <w:proofErr w:type="spellStart"/>
      <w:r>
        <w:rPr>
          <w:rFonts w:ascii="Times New Roman" w:hAnsi="Times New Roman"/>
          <w:sz w:val="24"/>
          <w:szCs w:val="24"/>
        </w:rPr>
        <w:t>Saadiq</w:t>
      </w:r>
      <w:proofErr w:type="spellEnd"/>
      <w:r>
        <w:rPr>
          <w:rFonts w:ascii="Times New Roman" w:hAnsi="Times New Roman"/>
          <w:sz w:val="24"/>
          <w:szCs w:val="24"/>
        </w:rPr>
        <w:t xml:space="preserve"> </w:t>
      </w:r>
      <w:proofErr w:type="spellStart"/>
      <w:r>
        <w:rPr>
          <w:rFonts w:ascii="Times New Roman" w:hAnsi="Times New Roman"/>
          <w:sz w:val="24"/>
          <w:szCs w:val="24"/>
        </w:rPr>
        <w:t>Berdad</w:t>
      </w:r>
      <w:proofErr w:type="spellEnd"/>
      <w:r>
        <w:rPr>
          <w:rFonts w:ascii="Times New Roman" w:hAnsi="Times New Roman"/>
          <w:sz w:val="24"/>
          <w:szCs w:val="24"/>
        </w:rPr>
        <w:t xml:space="preserve"> etc.</w:t>
      </w:r>
      <w:r>
        <w:rPr>
          <w:rStyle w:val="FootnoteReference"/>
          <w:rFonts w:ascii="Times New Roman" w:hAnsi="Times New Roman"/>
          <w:sz w:val="24"/>
          <w:szCs w:val="24"/>
        </w:rPr>
        <w:footnoteReference w:id="80"/>
      </w:r>
      <w:r>
        <w:rPr>
          <w:rFonts w:ascii="Times New Roman" w:hAnsi="Times New Roman"/>
          <w:sz w:val="24"/>
          <w:szCs w:val="24"/>
        </w:rPr>
        <w:t xml:space="preserve"> </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lastRenderedPageBreak/>
        <w:t xml:space="preserve">The nexus between corporate personality of companies under the Nigerian corporate law and that of </w:t>
      </w:r>
      <w:proofErr w:type="spellStart"/>
      <w:r>
        <w:rPr>
          <w:rFonts w:ascii="Times New Roman" w:hAnsi="Times New Roman"/>
          <w:sz w:val="24"/>
          <w:szCs w:val="24"/>
        </w:rPr>
        <w:t>Shari’ah</w:t>
      </w:r>
      <w:proofErr w:type="spellEnd"/>
      <w:r>
        <w:rPr>
          <w:rFonts w:ascii="Times New Roman" w:hAnsi="Times New Roman"/>
          <w:sz w:val="24"/>
          <w:szCs w:val="24"/>
        </w:rPr>
        <w:t xml:space="preserve"> lies in the fundamental right of Muslims to freedom of religion and religious practices in the Constitution which include Islamic corporate governance practices.</w:t>
      </w:r>
      <w:r>
        <w:rPr>
          <w:rStyle w:val="FootnoteReference"/>
          <w:rFonts w:ascii="Times New Roman" w:hAnsi="Times New Roman"/>
          <w:sz w:val="24"/>
          <w:szCs w:val="24"/>
        </w:rPr>
        <w:footnoteReference w:id="81"/>
      </w:r>
      <w:r>
        <w:rPr>
          <w:rFonts w:ascii="Times New Roman" w:hAnsi="Times New Roman"/>
          <w:sz w:val="24"/>
          <w:szCs w:val="24"/>
        </w:rPr>
        <w:t xml:space="preserve"> For Islamic corporate governance to practice to be administered in the affairs of corporations established pursuant Nigerian corporate law, it is important to establish the status of the recognition of corporate personality under </w:t>
      </w:r>
      <w:proofErr w:type="spellStart"/>
      <w:r>
        <w:rPr>
          <w:rFonts w:ascii="Times New Roman" w:hAnsi="Times New Roman"/>
          <w:sz w:val="24"/>
          <w:szCs w:val="24"/>
        </w:rPr>
        <w:t>Shari’ah</w:t>
      </w:r>
      <w:proofErr w:type="spellEnd"/>
      <w:r>
        <w:rPr>
          <w:rFonts w:ascii="Times New Roman" w:hAnsi="Times New Roman"/>
          <w:sz w:val="24"/>
          <w:szCs w:val="24"/>
        </w:rPr>
        <w:t xml:space="preserve">. With recognition of corporate personality from </w:t>
      </w:r>
      <w:proofErr w:type="spellStart"/>
      <w:r>
        <w:rPr>
          <w:rFonts w:ascii="Times New Roman" w:hAnsi="Times New Roman"/>
          <w:sz w:val="24"/>
          <w:szCs w:val="24"/>
        </w:rPr>
        <w:t>Shari’ah</w:t>
      </w:r>
      <w:proofErr w:type="spellEnd"/>
      <w:r>
        <w:rPr>
          <w:rFonts w:ascii="Times New Roman" w:hAnsi="Times New Roman"/>
          <w:sz w:val="24"/>
          <w:szCs w:val="24"/>
        </w:rPr>
        <w:t xml:space="preserve"> perspective, the rules of </w:t>
      </w:r>
      <w:proofErr w:type="spellStart"/>
      <w:r>
        <w:rPr>
          <w:rFonts w:ascii="Times New Roman" w:hAnsi="Times New Roman"/>
          <w:sz w:val="24"/>
          <w:szCs w:val="24"/>
        </w:rPr>
        <w:t>Shari’ah</w:t>
      </w:r>
      <w:proofErr w:type="spellEnd"/>
      <w:r>
        <w:rPr>
          <w:rFonts w:ascii="Times New Roman" w:hAnsi="Times New Roman"/>
          <w:sz w:val="24"/>
          <w:szCs w:val="24"/>
        </w:rPr>
        <w:t xml:space="preserve"> can be applied to corporations albeit with modification as against what is obtainable under the Nigerian corporate law.                </w:t>
      </w:r>
    </w:p>
    <w:p w:rsidR="00FD6A1D" w:rsidRDefault="00FD6A1D" w:rsidP="00FD6A1D">
      <w:pPr>
        <w:spacing w:after="0" w:line="360" w:lineRule="auto"/>
        <w:ind w:left="90" w:right="-63"/>
        <w:jc w:val="both"/>
        <w:rPr>
          <w:rFonts w:ascii="Times New Roman" w:hAnsi="Times New Roman"/>
          <w:b/>
          <w:bCs/>
          <w:sz w:val="24"/>
          <w:szCs w:val="24"/>
        </w:rPr>
      </w:pPr>
      <w:r>
        <w:rPr>
          <w:rFonts w:ascii="Times New Roman" w:hAnsi="Times New Roman"/>
          <w:b/>
          <w:bCs/>
          <w:sz w:val="24"/>
          <w:szCs w:val="24"/>
        </w:rPr>
        <w:t>2.3</w:t>
      </w:r>
      <w:r w:rsidRPr="00C32025">
        <w:rPr>
          <w:rFonts w:ascii="Times New Roman" w:hAnsi="Times New Roman"/>
          <w:b/>
          <w:bCs/>
          <w:sz w:val="24"/>
          <w:szCs w:val="24"/>
        </w:rPr>
        <w:t>.</w:t>
      </w:r>
      <w:r>
        <w:rPr>
          <w:rFonts w:ascii="Times New Roman" w:hAnsi="Times New Roman"/>
          <w:b/>
          <w:bCs/>
          <w:sz w:val="24"/>
          <w:szCs w:val="24"/>
        </w:rPr>
        <w:t xml:space="preserve"> </w:t>
      </w:r>
      <w:proofErr w:type="spellStart"/>
      <w:r>
        <w:rPr>
          <w:rFonts w:ascii="Times New Roman" w:hAnsi="Times New Roman"/>
          <w:b/>
          <w:bCs/>
          <w:sz w:val="24"/>
          <w:szCs w:val="24"/>
        </w:rPr>
        <w:t>Shari’ah</w:t>
      </w:r>
      <w:proofErr w:type="spellEnd"/>
      <w:r>
        <w:rPr>
          <w:rFonts w:ascii="Times New Roman" w:hAnsi="Times New Roman"/>
          <w:b/>
          <w:bCs/>
          <w:sz w:val="24"/>
          <w:szCs w:val="24"/>
        </w:rPr>
        <w:t xml:space="preserve"> Modification</w:t>
      </w:r>
    </w:p>
    <w:p w:rsidR="00FD6A1D" w:rsidRDefault="00FD6A1D" w:rsidP="00FD6A1D">
      <w:pPr>
        <w:spacing w:line="360" w:lineRule="auto"/>
        <w:ind w:left="90" w:right="-63"/>
        <w:jc w:val="both"/>
        <w:rPr>
          <w:rFonts w:ascii="Times New Roman" w:hAnsi="Times New Roman"/>
          <w:sz w:val="24"/>
          <w:szCs w:val="24"/>
        </w:rPr>
      </w:pPr>
      <w:r w:rsidRPr="00C32025">
        <w:rPr>
          <w:rFonts w:ascii="Times New Roman" w:hAnsi="Times New Roman"/>
          <w:sz w:val="24"/>
          <w:szCs w:val="24"/>
        </w:rPr>
        <w:t>It can be</w:t>
      </w:r>
      <w:r>
        <w:rPr>
          <w:rFonts w:ascii="Times New Roman" w:hAnsi="Times New Roman"/>
          <w:sz w:val="24"/>
          <w:szCs w:val="24"/>
        </w:rPr>
        <w:t xml:space="preserve"> inferred from the above that artificial personality enjoys by corporation is well established under </w:t>
      </w:r>
      <w:proofErr w:type="spellStart"/>
      <w:r>
        <w:rPr>
          <w:rFonts w:ascii="Times New Roman" w:hAnsi="Times New Roman"/>
          <w:i/>
          <w:iCs/>
          <w:sz w:val="24"/>
          <w:szCs w:val="24"/>
        </w:rPr>
        <w:t>Shari’ah</w:t>
      </w:r>
      <w:proofErr w:type="spellEnd"/>
      <w:r>
        <w:rPr>
          <w:rFonts w:ascii="Times New Roman" w:hAnsi="Times New Roman"/>
          <w:sz w:val="24"/>
          <w:szCs w:val="24"/>
        </w:rPr>
        <w:t xml:space="preserve">. </w:t>
      </w:r>
      <w:proofErr w:type="spellStart"/>
      <w:r>
        <w:rPr>
          <w:rFonts w:ascii="Times New Roman" w:hAnsi="Times New Roman"/>
          <w:i/>
          <w:iCs/>
          <w:sz w:val="24"/>
          <w:szCs w:val="24"/>
        </w:rPr>
        <w:t>Shari’ah</w:t>
      </w:r>
      <w:proofErr w:type="spellEnd"/>
      <w:r>
        <w:rPr>
          <w:rFonts w:ascii="Times New Roman" w:hAnsi="Times New Roman"/>
          <w:sz w:val="24"/>
          <w:szCs w:val="24"/>
        </w:rPr>
        <w:t xml:space="preserve">, as a complete code of life, has left nothing undiscussed. Islamic jurisprudence equally </w:t>
      </w:r>
      <w:proofErr w:type="spellStart"/>
      <w:r w:rsidRPr="00C32025">
        <w:rPr>
          <w:rFonts w:ascii="Times New Roman" w:hAnsi="Times New Roman"/>
          <w:sz w:val="24"/>
          <w:szCs w:val="24"/>
        </w:rPr>
        <w:t>recognises</w:t>
      </w:r>
      <w:proofErr w:type="spellEnd"/>
      <w:r>
        <w:rPr>
          <w:rFonts w:ascii="Times New Roman" w:hAnsi="Times New Roman"/>
          <w:sz w:val="24"/>
          <w:szCs w:val="24"/>
        </w:rPr>
        <w:t xml:space="preserve"> the doctrines of human organism in </w:t>
      </w:r>
      <w:proofErr w:type="spellStart"/>
      <w:r>
        <w:rPr>
          <w:rFonts w:ascii="Times New Roman" w:hAnsi="Times New Roman"/>
          <w:sz w:val="24"/>
          <w:szCs w:val="24"/>
        </w:rPr>
        <w:t>favour</w:t>
      </w:r>
      <w:proofErr w:type="spellEnd"/>
      <w:r>
        <w:rPr>
          <w:rFonts w:ascii="Times New Roman" w:hAnsi="Times New Roman"/>
          <w:sz w:val="24"/>
          <w:szCs w:val="24"/>
        </w:rPr>
        <w:t xml:space="preserve"> of corporate entities. The reason being that abstract existence of corporation makes it imperatives for human organ to be the alter ego and directing mind of the corporation in order to discharge their obligations. Thus, artificial corporate person can validly perform obligation</w:t>
      </w:r>
      <w:r w:rsidRPr="002513E8">
        <w:rPr>
          <w:rFonts w:ascii="Times New Roman" w:hAnsi="Times New Roman"/>
          <w:sz w:val="24"/>
          <w:szCs w:val="24"/>
        </w:rPr>
        <w:t>s</w:t>
      </w:r>
      <w:r>
        <w:rPr>
          <w:rFonts w:ascii="Times New Roman" w:hAnsi="Times New Roman"/>
          <w:sz w:val="24"/>
          <w:szCs w:val="24"/>
        </w:rPr>
        <w:t xml:space="preserve"> or carried out certain tasks with dependency on the human organ and such performed obligation</w:t>
      </w:r>
      <w:r w:rsidRPr="002513E8">
        <w:rPr>
          <w:rFonts w:ascii="Times New Roman" w:hAnsi="Times New Roman"/>
          <w:sz w:val="24"/>
          <w:szCs w:val="24"/>
        </w:rPr>
        <w:t>s</w:t>
      </w:r>
      <w:r>
        <w:rPr>
          <w:rFonts w:ascii="Times New Roman" w:hAnsi="Times New Roman"/>
          <w:sz w:val="24"/>
          <w:szCs w:val="24"/>
        </w:rPr>
        <w:t xml:space="preserve"> will be imputed on the artificial person.</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However, in the event of </w:t>
      </w:r>
      <w:r w:rsidRPr="002513E8">
        <w:rPr>
          <w:rFonts w:ascii="Times New Roman" w:hAnsi="Times New Roman"/>
          <w:sz w:val="24"/>
          <w:szCs w:val="24"/>
        </w:rPr>
        <w:t>liabilities</w:t>
      </w:r>
      <w:r>
        <w:rPr>
          <w:rFonts w:ascii="Times New Roman" w:hAnsi="Times New Roman"/>
          <w:sz w:val="24"/>
          <w:szCs w:val="24"/>
        </w:rPr>
        <w:t xml:space="preserve"> or taking responsibilities for the consequence</w:t>
      </w:r>
      <w:r w:rsidRPr="002513E8">
        <w:rPr>
          <w:rFonts w:ascii="Times New Roman" w:hAnsi="Times New Roman"/>
          <w:sz w:val="24"/>
          <w:szCs w:val="24"/>
        </w:rPr>
        <w:t>(s)</w:t>
      </w:r>
      <w:r>
        <w:rPr>
          <w:rFonts w:ascii="Times New Roman" w:hAnsi="Times New Roman"/>
          <w:sz w:val="24"/>
          <w:szCs w:val="24"/>
        </w:rPr>
        <w:t xml:space="preserve"> of the acts of the human organ, the position of </w:t>
      </w:r>
      <w:proofErr w:type="spellStart"/>
      <w:r>
        <w:rPr>
          <w:rFonts w:ascii="Times New Roman" w:hAnsi="Times New Roman"/>
          <w:sz w:val="24"/>
          <w:szCs w:val="24"/>
        </w:rPr>
        <w:t>Shari’ah</w:t>
      </w:r>
      <w:proofErr w:type="spellEnd"/>
      <w:r>
        <w:rPr>
          <w:rFonts w:ascii="Times New Roman" w:hAnsi="Times New Roman"/>
          <w:sz w:val="24"/>
          <w:szCs w:val="24"/>
        </w:rPr>
        <w:t xml:space="preserve"> differs from that of the Nigerian corporate law. This is where </w:t>
      </w:r>
      <w:proofErr w:type="spellStart"/>
      <w:r>
        <w:rPr>
          <w:rFonts w:ascii="Times New Roman" w:hAnsi="Times New Roman"/>
          <w:i/>
          <w:iCs/>
          <w:sz w:val="24"/>
          <w:szCs w:val="24"/>
        </w:rPr>
        <w:t>Shari’ah</w:t>
      </w:r>
      <w:proofErr w:type="spellEnd"/>
      <w:r>
        <w:rPr>
          <w:rFonts w:ascii="Times New Roman" w:hAnsi="Times New Roman"/>
          <w:sz w:val="24"/>
          <w:szCs w:val="24"/>
        </w:rPr>
        <w:t xml:space="preserve"> modification comes in. The principle regarding liability for the actions of natural persons are well espoused under </w:t>
      </w:r>
      <w:proofErr w:type="spellStart"/>
      <w:r>
        <w:rPr>
          <w:rFonts w:ascii="Times New Roman" w:hAnsi="Times New Roman"/>
          <w:i/>
          <w:iCs/>
          <w:sz w:val="24"/>
          <w:szCs w:val="24"/>
        </w:rPr>
        <w:t>Shari’ah</w:t>
      </w:r>
      <w:proofErr w:type="spellEnd"/>
      <w:r>
        <w:rPr>
          <w:rFonts w:ascii="Times New Roman" w:hAnsi="Times New Roman"/>
          <w:sz w:val="24"/>
          <w:szCs w:val="24"/>
        </w:rPr>
        <w:t xml:space="preserve"> vide the relevant provisions in the Qur’an and Hadith.</w:t>
      </w:r>
    </w:p>
    <w:p w:rsidR="00FD6A1D" w:rsidRPr="00F201C7" w:rsidRDefault="00FD6A1D" w:rsidP="00FD6A1D">
      <w:pPr>
        <w:spacing w:line="360" w:lineRule="auto"/>
        <w:ind w:left="90" w:right="-63"/>
        <w:jc w:val="both"/>
        <w:rPr>
          <w:rFonts w:ascii="Times New Roman" w:hAnsi="Times New Roman"/>
          <w:sz w:val="28"/>
          <w:szCs w:val="28"/>
        </w:rPr>
      </w:pPr>
      <w:r>
        <w:rPr>
          <w:rFonts w:ascii="Times New Roman" w:hAnsi="Times New Roman"/>
          <w:sz w:val="24"/>
          <w:szCs w:val="24"/>
        </w:rPr>
        <w:t>The Qur’an equivocally provides thus: ‘</w:t>
      </w:r>
      <w:r w:rsidRPr="00392170">
        <w:rPr>
          <w:rFonts w:ascii="Times New Roman" w:hAnsi="Times New Roman"/>
          <w:sz w:val="24"/>
          <w:szCs w:val="24"/>
        </w:rPr>
        <w:t>Whoever acts righteously does so for his own good and whoever commits evil does so against his soul.’</w:t>
      </w:r>
      <w:r w:rsidRPr="00392170">
        <w:rPr>
          <w:rStyle w:val="FootnoteReference"/>
          <w:rFonts w:ascii="Times New Roman" w:hAnsi="Times New Roman"/>
          <w:sz w:val="24"/>
          <w:szCs w:val="24"/>
        </w:rPr>
        <w:footnoteReference w:id="82"/>
      </w:r>
      <w:r>
        <w:rPr>
          <w:rFonts w:ascii="Times New Roman" w:hAnsi="Times New Roman"/>
          <w:sz w:val="24"/>
          <w:szCs w:val="24"/>
        </w:rPr>
        <w:t xml:space="preserve"> In the same vein, Allah (SWT) unequivocally declared thus:</w:t>
      </w:r>
    </w:p>
    <w:p w:rsidR="00FD6A1D" w:rsidRDefault="00FD6A1D" w:rsidP="00FD6A1D">
      <w:pPr>
        <w:spacing w:line="360" w:lineRule="auto"/>
        <w:ind w:left="720" w:right="-63"/>
        <w:jc w:val="both"/>
        <w:rPr>
          <w:rFonts w:ascii="Times New Roman" w:hAnsi="Times New Roman"/>
          <w:sz w:val="16"/>
          <w:szCs w:val="16"/>
        </w:rPr>
      </w:pPr>
      <w:r w:rsidRPr="00FC0AD2">
        <w:rPr>
          <w:rFonts w:ascii="Times New Roman" w:hAnsi="Times New Roman"/>
          <w:sz w:val="20"/>
          <w:szCs w:val="20"/>
        </w:rPr>
        <w:t>And no bearer of burdens will bear the burden of another. And if a heavily laden soul calls [another] to [carry some of] its load, nothing of it will be carried, even if he should be a close relative. You can only warn those who fear their Lord unseen and have established prayer. And whoever purifies himself only purifies himself for [the benefit of] his soul. And to Allah is the [final] destination</w:t>
      </w:r>
      <w:r w:rsidRPr="00FC0AD2">
        <w:rPr>
          <w:rFonts w:ascii="Times New Roman" w:hAnsi="Times New Roman"/>
          <w:sz w:val="16"/>
          <w:szCs w:val="16"/>
        </w:rPr>
        <w:t>.</w:t>
      </w:r>
      <w:r w:rsidRPr="00FC0AD2">
        <w:rPr>
          <w:rStyle w:val="FootnoteReference"/>
          <w:rFonts w:ascii="Times New Roman" w:hAnsi="Times New Roman"/>
          <w:sz w:val="16"/>
          <w:szCs w:val="16"/>
        </w:rPr>
        <w:footnoteReference w:id="83"/>
      </w:r>
    </w:p>
    <w:p w:rsidR="00FD6A1D" w:rsidRPr="00ED0D5C" w:rsidRDefault="00FD6A1D" w:rsidP="00FD6A1D">
      <w:pPr>
        <w:spacing w:line="240" w:lineRule="auto"/>
        <w:ind w:left="90" w:right="-63"/>
        <w:jc w:val="both"/>
        <w:rPr>
          <w:rFonts w:ascii="Times New Roman" w:hAnsi="Times New Roman"/>
          <w:sz w:val="14"/>
          <w:szCs w:val="14"/>
        </w:rPr>
      </w:pPr>
    </w:p>
    <w:p w:rsidR="00FD6A1D" w:rsidRDefault="00FD6A1D" w:rsidP="00FD6A1D">
      <w:pPr>
        <w:spacing w:line="360" w:lineRule="auto"/>
        <w:ind w:left="90" w:right="-63"/>
        <w:jc w:val="both"/>
        <w:rPr>
          <w:rFonts w:ascii="Times New Roman" w:hAnsi="Times New Roman"/>
          <w:sz w:val="20"/>
          <w:szCs w:val="20"/>
        </w:rPr>
      </w:pPr>
      <w:r>
        <w:rPr>
          <w:rFonts w:ascii="Times New Roman" w:hAnsi="Times New Roman"/>
          <w:sz w:val="24"/>
          <w:szCs w:val="24"/>
        </w:rPr>
        <w:t xml:space="preserve">In another verse, Allah ordains </w:t>
      </w:r>
      <w:r w:rsidRPr="00C32025">
        <w:rPr>
          <w:rFonts w:ascii="Times New Roman" w:hAnsi="Times New Roman"/>
          <w:sz w:val="24"/>
          <w:szCs w:val="24"/>
        </w:rPr>
        <w:t>as follows</w:t>
      </w:r>
      <w:r>
        <w:rPr>
          <w:rFonts w:ascii="Times New Roman" w:hAnsi="Times New Roman"/>
          <w:sz w:val="24"/>
          <w:szCs w:val="24"/>
        </w:rPr>
        <w:t xml:space="preserve">: </w:t>
      </w:r>
      <w:r w:rsidRPr="0057716D">
        <w:rPr>
          <w:rFonts w:ascii="Times New Roman" w:hAnsi="Times New Roman"/>
          <w:sz w:val="24"/>
          <w:szCs w:val="24"/>
        </w:rPr>
        <w:t>‘It (souls) gets whatever good that it earns and it suffers every ill that it earns.’</w:t>
      </w:r>
      <w:r>
        <w:rPr>
          <w:rStyle w:val="FootnoteReference"/>
          <w:rFonts w:ascii="Times New Roman" w:hAnsi="Times New Roman"/>
          <w:sz w:val="24"/>
          <w:szCs w:val="24"/>
        </w:rPr>
        <w:footnoteReference w:id="84"/>
      </w:r>
      <w:r>
        <w:rPr>
          <w:rFonts w:ascii="Times New Roman" w:hAnsi="Times New Roman"/>
          <w:sz w:val="24"/>
          <w:szCs w:val="24"/>
        </w:rPr>
        <w:t xml:space="preserve"> Also, the Quran provides: </w:t>
      </w:r>
      <w:r w:rsidRPr="0057716D">
        <w:rPr>
          <w:rFonts w:ascii="Times New Roman" w:hAnsi="Times New Roman"/>
          <w:sz w:val="24"/>
          <w:szCs w:val="24"/>
        </w:rPr>
        <w:t>‘Every soul will (held) in pledge for its deeds.’</w:t>
      </w:r>
      <w:r w:rsidRPr="0057716D">
        <w:rPr>
          <w:rStyle w:val="FootnoteReference"/>
          <w:rFonts w:ascii="Times New Roman" w:hAnsi="Times New Roman"/>
          <w:sz w:val="24"/>
          <w:szCs w:val="24"/>
        </w:rPr>
        <w:footnoteReference w:id="85"/>
      </w:r>
      <w:r>
        <w:rPr>
          <w:rFonts w:ascii="Times New Roman" w:hAnsi="Times New Roman"/>
          <w:sz w:val="24"/>
          <w:szCs w:val="24"/>
        </w:rPr>
        <w:t xml:space="preserve"> Yet in another verse of the Holy Quran, Allah emphasizes that ‘</w:t>
      </w:r>
      <w:r w:rsidRPr="0057716D">
        <w:rPr>
          <w:rFonts w:ascii="Times New Roman" w:hAnsi="Times New Roman"/>
          <w:sz w:val="24"/>
          <w:szCs w:val="24"/>
        </w:rPr>
        <w:t>Then shall anyone who has done an atom’s weight of good shall see it! Anyone who has an atom</w:t>
      </w:r>
      <w:r>
        <w:rPr>
          <w:rFonts w:ascii="Times New Roman" w:hAnsi="Times New Roman"/>
          <w:sz w:val="24"/>
          <w:szCs w:val="24"/>
        </w:rPr>
        <w:t>’s weight of evil shall see it.’</w:t>
      </w:r>
      <w:r>
        <w:rPr>
          <w:rStyle w:val="FootnoteReference"/>
          <w:rFonts w:ascii="Times New Roman" w:hAnsi="Times New Roman"/>
          <w:sz w:val="24"/>
          <w:szCs w:val="24"/>
        </w:rPr>
        <w:footnoteReference w:id="86"/>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It is instructive to note that </w:t>
      </w:r>
      <w:r w:rsidRPr="001B59B9">
        <w:rPr>
          <w:rFonts w:ascii="Times New Roman" w:hAnsi="Times New Roman"/>
          <w:sz w:val="24"/>
          <w:szCs w:val="24"/>
        </w:rPr>
        <w:t>on the Day of Judgment,</w:t>
      </w:r>
      <w:r>
        <w:rPr>
          <w:rFonts w:ascii="Times New Roman" w:hAnsi="Times New Roman"/>
          <w:sz w:val="24"/>
          <w:szCs w:val="24"/>
        </w:rPr>
        <w:t xml:space="preserve"> mankind would be asked of every details of their practices on earth including those who found themselves in corporate practice.</w:t>
      </w:r>
      <w:r>
        <w:rPr>
          <w:rStyle w:val="FootnoteReference"/>
          <w:rFonts w:ascii="Times New Roman" w:hAnsi="Times New Roman"/>
          <w:sz w:val="24"/>
          <w:szCs w:val="24"/>
        </w:rPr>
        <w:footnoteReference w:id="87"/>
      </w:r>
      <w:r>
        <w:rPr>
          <w:rFonts w:ascii="Times New Roman" w:hAnsi="Times New Roman"/>
          <w:sz w:val="24"/>
          <w:szCs w:val="24"/>
        </w:rPr>
        <w:t xml:space="preserve"> They would have no excuse for their acts and personally face the consequences accordingly.</w:t>
      </w:r>
      <w:r>
        <w:rPr>
          <w:rStyle w:val="FootnoteReference"/>
          <w:rFonts w:ascii="Times New Roman" w:hAnsi="Times New Roman"/>
          <w:sz w:val="24"/>
          <w:szCs w:val="24"/>
        </w:rPr>
        <w:footnoteReference w:id="88"/>
      </w:r>
      <w:r>
        <w:rPr>
          <w:rFonts w:ascii="Times New Roman" w:hAnsi="Times New Roman"/>
          <w:sz w:val="24"/>
          <w:szCs w:val="24"/>
        </w:rPr>
        <w:t xml:space="preserve"> Allah emphasis this when He states that: ‘</w:t>
      </w:r>
      <w:r w:rsidRPr="0057716D">
        <w:rPr>
          <w:rFonts w:ascii="Times New Roman" w:hAnsi="Times New Roman"/>
          <w:sz w:val="24"/>
          <w:szCs w:val="24"/>
        </w:rPr>
        <w:t>The Day we shall set a seal on their mouths. But their hands will speak to us, and their feet witness to that they did.</w:t>
      </w:r>
      <w:r>
        <w:rPr>
          <w:rFonts w:ascii="Times New Roman" w:hAnsi="Times New Roman"/>
          <w:sz w:val="24"/>
          <w:szCs w:val="24"/>
        </w:rPr>
        <w:t>’</w:t>
      </w:r>
      <w:r w:rsidRPr="0057716D">
        <w:rPr>
          <w:rStyle w:val="FootnoteReference"/>
          <w:rFonts w:ascii="Times New Roman" w:hAnsi="Times New Roman"/>
          <w:sz w:val="24"/>
          <w:szCs w:val="24"/>
        </w:rPr>
        <w:footnoteReference w:id="89"/>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The Hadith of the Messenger of Allah (S.A.W) is very apposite when Ibn ‘Umar said: I heard the Messenger of Allah (S.A.W) says:</w:t>
      </w:r>
    </w:p>
    <w:p w:rsidR="00FD6A1D" w:rsidRDefault="00FD6A1D" w:rsidP="00FD6A1D">
      <w:pPr>
        <w:spacing w:line="360" w:lineRule="auto"/>
        <w:ind w:left="1440" w:right="-63"/>
        <w:jc w:val="both"/>
        <w:rPr>
          <w:rFonts w:ascii="Times New Roman" w:hAnsi="Times New Roman"/>
          <w:sz w:val="20"/>
          <w:szCs w:val="20"/>
        </w:rPr>
      </w:pPr>
      <w:r>
        <w:rPr>
          <w:rFonts w:ascii="Times New Roman" w:hAnsi="Times New Roman"/>
          <w:sz w:val="20"/>
          <w:szCs w:val="20"/>
        </w:rPr>
        <w:t>All of you are shepherds and each of you is responsible for his flock. An Imam is a shepherd and he is responsible for those in his care. A man is a shepherd in respect of his family and is responsible for those in his care. The woman is a shepherd in respect of her husband’s house and is responsible for those in her care. The servant is shepherd in respect of his master’s property and is responsible for what is in his care. All of you are shepherd and each of you is responsible for his flock.</w:t>
      </w:r>
      <w:r>
        <w:rPr>
          <w:rStyle w:val="FootnoteReference"/>
          <w:rFonts w:ascii="Times New Roman" w:hAnsi="Times New Roman"/>
        </w:rPr>
        <w:footnoteReference w:id="90"/>
      </w:r>
    </w:p>
    <w:p w:rsidR="00FD6A1D" w:rsidRDefault="00FD6A1D" w:rsidP="00FD6A1D">
      <w:pPr>
        <w:spacing w:line="360" w:lineRule="auto"/>
        <w:ind w:left="90" w:right="-63"/>
        <w:jc w:val="both"/>
        <w:rPr>
          <w:rFonts w:ascii="Times New Roman" w:hAnsi="Times New Roman"/>
          <w:sz w:val="20"/>
          <w:szCs w:val="20"/>
        </w:rPr>
      </w:pPr>
      <w:r>
        <w:rPr>
          <w:rFonts w:ascii="Times New Roman" w:hAnsi="Times New Roman"/>
          <w:sz w:val="24"/>
          <w:szCs w:val="24"/>
        </w:rPr>
        <w:t xml:space="preserve">The foregoing authorities under </w:t>
      </w:r>
      <w:proofErr w:type="spellStart"/>
      <w:r>
        <w:rPr>
          <w:rFonts w:ascii="Times New Roman" w:hAnsi="Times New Roman"/>
          <w:i/>
          <w:iCs/>
          <w:sz w:val="24"/>
          <w:szCs w:val="24"/>
        </w:rPr>
        <w:t>Shari’ah</w:t>
      </w:r>
      <w:proofErr w:type="spellEnd"/>
      <w:r>
        <w:rPr>
          <w:rFonts w:ascii="Times New Roman" w:hAnsi="Times New Roman"/>
          <w:sz w:val="24"/>
          <w:szCs w:val="24"/>
        </w:rPr>
        <w:t xml:space="preserve"> are to the effect that there is no </w:t>
      </w:r>
      <w:proofErr w:type="spellStart"/>
      <w:r>
        <w:rPr>
          <w:rFonts w:ascii="Times New Roman" w:hAnsi="Times New Roman"/>
          <w:i/>
          <w:iCs/>
          <w:sz w:val="24"/>
          <w:szCs w:val="24"/>
        </w:rPr>
        <w:t>Shari’ah</w:t>
      </w:r>
      <w:proofErr w:type="spellEnd"/>
      <w:r>
        <w:rPr>
          <w:rFonts w:ascii="Times New Roman" w:hAnsi="Times New Roman"/>
          <w:sz w:val="24"/>
          <w:szCs w:val="24"/>
        </w:rPr>
        <w:t xml:space="preserve"> protection against the liabilities of corporate managers in the course of corporate administration/governance. </w:t>
      </w:r>
      <w:r>
        <w:rPr>
          <w:rFonts w:ascii="Times New Roman" w:hAnsi="Times New Roman"/>
          <w:sz w:val="24"/>
          <w:szCs w:val="24"/>
        </w:rPr>
        <w:lastRenderedPageBreak/>
        <w:t>Each individual involved in corporate governance is responsible for his act to the extent of his participation. This is the reason the Prophet warned that: ‘</w:t>
      </w:r>
      <w:r>
        <w:rPr>
          <w:rFonts w:ascii="Times New Roman" w:hAnsi="Times New Roman"/>
          <w:sz w:val="20"/>
          <w:szCs w:val="20"/>
        </w:rPr>
        <w:t>Fear Allah wherever you find yourself.’</w:t>
      </w:r>
      <w:r>
        <w:rPr>
          <w:rStyle w:val="FootnoteReference"/>
          <w:rFonts w:ascii="Times New Roman" w:hAnsi="Times New Roman"/>
        </w:rPr>
        <w:footnoteReference w:id="91"/>
      </w:r>
    </w:p>
    <w:p w:rsidR="00FD6A1D" w:rsidRDefault="00FD6A1D" w:rsidP="00FD6A1D">
      <w:pPr>
        <w:spacing w:after="0" w:line="360" w:lineRule="auto"/>
        <w:ind w:right="-63"/>
        <w:jc w:val="both"/>
        <w:rPr>
          <w:rFonts w:ascii="Times New Roman" w:hAnsi="Times New Roman"/>
          <w:b/>
          <w:bCs/>
          <w:sz w:val="24"/>
          <w:szCs w:val="24"/>
        </w:rPr>
      </w:pPr>
      <w:r>
        <w:rPr>
          <w:rFonts w:ascii="Times New Roman" w:hAnsi="Times New Roman"/>
          <w:b/>
          <w:bCs/>
          <w:sz w:val="24"/>
          <w:szCs w:val="24"/>
        </w:rPr>
        <w:t xml:space="preserve"> </w:t>
      </w:r>
      <w:r w:rsidRPr="00C32025">
        <w:rPr>
          <w:rFonts w:ascii="Times New Roman" w:hAnsi="Times New Roman"/>
          <w:b/>
          <w:bCs/>
          <w:sz w:val="24"/>
          <w:szCs w:val="24"/>
        </w:rPr>
        <w:t>4</w:t>
      </w:r>
      <w:r>
        <w:rPr>
          <w:rFonts w:ascii="Times New Roman" w:hAnsi="Times New Roman"/>
          <w:b/>
          <w:bCs/>
          <w:sz w:val="24"/>
          <w:szCs w:val="24"/>
        </w:rPr>
        <w:t xml:space="preserve">. Application </w:t>
      </w:r>
      <w:r w:rsidRPr="00C32025">
        <w:rPr>
          <w:rFonts w:ascii="Times New Roman" w:hAnsi="Times New Roman"/>
          <w:b/>
          <w:bCs/>
          <w:sz w:val="24"/>
          <w:szCs w:val="24"/>
        </w:rPr>
        <w:t>Legal Personality</w:t>
      </w:r>
      <w:r>
        <w:rPr>
          <w:rFonts w:ascii="Times New Roman" w:hAnsi="Times New Roman"/>
          <w:b/>
          <w:bCs/>
          <w:sz w:val="24"/>
          <w:szCs w:val="24"/>
        </w:rPr>
        <w:t xml:space="preserve"> in Nigeria</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Nigeria is a heterogeneous nation that practices tripartite system of law.</w:t>
      </w:r>
      <w:r>
        <w:rPr>
          <w:rStyle w:val="FootnoteReference"/>
          <w:rFonts w:ascii="Times New Roman" w:hAnsi="Times New Roman"/>
          <w:sz w:val="24"/>
          <w:szCs w:val="24"/>
        </w:rPr>
        <w:footnoteReference w:id="92"/>
      </w:r>
      <w:r>
        <w:rPr>
          <w:rFonts w:ascii="Times New Roman" w:hAnsi="Times New Roman"/>
          <w:sz w:val="24"/>
          <w:szCs w:val="24"/>
        </w:rPr>
        <w:t xml:space="preserve"> The systems of law in operation in the country are the Received English Common Law, Customary Law and Islamic Law. The common law enjoys dominance over other two systems of law.</w:t>
      </w:r>
      <w:r>
        <w:rPr>
          <w:rStyle w:val="FootnoteReference"/>
          <w:rFonts w:ascii="Times New Roman" w:hAnsi="Times New Roman"/>
          <w:sz w:val="24"/>
          <w:szCs w:val="24"/>
        </w:rPr>
        <w:footnoteReference w:id="93"/>
      </w:r>
      <w:r>
        <w:rPr>
          <w:rFonts w:ascii="Times New Roman" w:hAnsi="Times New Roman"/>
          <w:sz w:val="24"/>
          <w:szCs w:val="24"/>
        </w:rPr>
        <w:t xml:space="preserve"> This is because, it dictates their paces, practicability and applicability amongst their subjects. Thus, it could be argued that </w:t>
      </w:r>
      <w:proofErr w:type="spellStart"/>
      <w:r>
        <w:rPr>
          <w:rFonts w:ascii="Times New Roman" w:hAnsi="Times New Roman"/>
          <w:i/>
          <w:iCs/>
          <w:sz w:val="24"/>
          <w:szCs w:val="24"/>
        </w:rPr>
        <w:t>Shari’ah</w:t>
      </w:r>
      <w:proofErr w:type="spellEnd"/>
      <w:r>
        <w:rPr>
          <w:rFonts w:ascii="Times New Roman" w:hAnsi="Times New Roman"/>
          <w:sz w:val="24"/>
          <w:szCs w:val="24"/>
        </w:rPr>
        <w:t xml:space="preserve"> modification for the practical application of corporate personality doctrine enjoys statutory </w:t>
      </w:r>
      <w:proofErr w:type="spellStart"/>
      <w:r>
        <w:rPr>
          <w:rFonts w:ascii="Times New Roman" w:hAnsi="Times New Roman"/>
          <w:sz w:val="24"/>
          <w:szCs w:val="24"/>
        </w:rPr>
        <w:t>flavour</w:t>
      </w:r>
      <w:proofErr w:type="spellEnd"/>
      <w:r>
        <w:rPr>
          <w:rFonts w:ascii="Times New Roman" w:hAnsi="Times New Roman"/>
          <w:sz w:val="24"/>
          <w:szCs w:val="24"/>
        </w:rPr>
        <w:t xml:space="preserve"> by virtue of Section 38 of the Constitution of the Federal Republic of Nigeria, 1999, (as </w:t>
      </w:r>
      <w:r w:rsidRPr="00C32025">
        <w:rPr>
          <w:rFonts w:ascii="Times New Roman" w:hAnsi="Times New Roman"/>
          <w:sz w:val="24"/>
          <w:szCs w:val="24"/>
        </w:rPr>
        <w:t>amended</w:t>
      </w:r>
      <w:r>
        <w:rPr>
          <w:rFonts w:ascii="Times New Roman" w:hAnsi="Times New Roman"/>
          <w:sz w:val="24"/>
          <w:szCs w:val="24"/>
        </w:rPr>
        <w:t>). The Section guarantees right to freedom of religion and religious practices. One thing is for a citizen to be entitled to freedom of religion and another thing is for him/her to be able to practice all the religious rites. Little wonder the constitutional provision of section 38 accorded the complete right to freedom of religion and right to freedom of religious practices. Islamic law, by virtue of its divinity, is mandatory on all Muslims without choice.</w:t>
      </w:r>
      <w:r>
        <w:rPr>
          <w:rStyle w:val="FootnoteReference"/>
          <w:rFonts w:ascii="Times New Roman" w:hAnsi="Times New Roman"/>
          <w:sz w:val="24"/>
          <w:szCs w:val="24"/>
        </w:rPr>
        <w:footnoteReference w:id="94"/>
      </w:r>
      <w:r>
        <w:rPr>
          <w:rFonts w:ascii="Times New Roman" w:hAnsi="Times New Roman"/>
          <w:sz w:val="24"/>
          <w:szCs w:val="24"/>
        </w:rPr>
        <w:t xml:space="preserve"> Apart from that, the religion also dictates or shapes every aspect of Muslim lives from birth to death and even beyond.</w:t>
      </w:r>
      <w:r>
        <w:rPr>
          <w:rStyle w:val="FootnoteReference"/>
          <w:rFonts w:ascii="Times New Roman" w:hAnsi="Times New Roman"/>
          <w:sz w:val="24"/>
          <w:szCs w:val="24"/>
        </w:rPr>
        <w:footnoteReference w:id="95"/>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Thus, the doctrine of corporate personality as it operates in Nigeria can be </w:t>
      </w:r>
      <w:proofErr w:type="spellStart"/>
      <w:r>
        <w:rPr>
          <w:rFonts w:ascii="Times New Roman" w:hAnsi="Times New Roman"/>
          <w:sz w:val="24"/>
          <w:szCs w:val="24"/>
        </w:rPr>
        <w:t>categorised</w:t>
      </w:r>
      <w:proofErr w:type="spellEnd"/>
      <w:r>
        <w:rPr>
          <w:rFonts w:ascii="Times New Roman" w:hAnsi="Times New Roman"/>
          <w:sz w:val="24"/>
          <w:szCs w:val="24"/>
        </w:rPr>
        <w:t xml:space="preserve"> under Islamic law of transactions (</w:t>
      </w:r>
      <w:proofErr w:type="spellStart"/>
      <w:r>
        <w:rPr>
          <w:rFonts w:ascii="Times New Roman" w:hAnsi="Times New Roman"/>
          <w:i/>
          <w:iCs/>
          <w:sz w:val="24"/>
          <w:szCs w:val="24"/>
        </w:rPr>
        <w:t>Mu’amalat</w:t>
      </w:r>
      <w:proofErr w:type="spellEnd"/>
      <w:r>
        <w:rPr>
          <w:rFonts w:ascii="Times New Roman" w:hAnsi="Times New Roman"/>
          <w:sz w:val="24"/>
          <w:szCs w:val="24"/>
        </w:rPr>
        <w:t xml:space="preserve">). The </w:t>
      </w:r>
      <w:r w:rsidRPr="00C32025">
        <w:rPr>
          <w:rFonts w:ascii="Times New Roman" w:hAnsi="Times New Roman"/>
          <w:sz w:val="24"/>
          <w:szCs w:val="24"/>
        </w:rPr>
        <w:t>Constitution</w:t>
      </w:r>
      <w:r>
        <w:rPr>
          <w:rFonts w:ascii="Times New Roman" w:hAnsi="Times New Roman"/>
          <w:sz w:val="24"/>
          <w:szCs w:val="24"/>
        </w:rPr>
        <w:t xml:space="preserve"> itself, </w:t>
      </w:r>
      <w:proofErr w:type="spellStart"/>
      <w:r w:rsidRPr="00C32025">
        <w:rPr>
          <w:rFonts w:ascii="Times New Roman" w:hAnsi="Times New Roman"/>
          <w:sz w:val="24"/>
          <w:szCs w:val="24"/>
        </w:rPr>
        <w:t>recognises</w:t>
      </w:r>
      <w:proofErr w:type="spellEnd"/>
      <w:r w:rsidRPr="00A04EE1">
        <w:rPr>
          <w:rFonts w:ascii="Times New Roman" w:hAnsi="Times New Roman"/>
          <w:color w:val="FF0000"/>
          <w:sz w:val="24"/>
          <w:szCs w:val="24"/>
        </w:rPr>
        <w:t xml:space="preserve"> </w:t>
      </w:r>
      <w:r>
        <w:rPr>
          <w:rFonts w:ascii="Times New Roman" w:hAnsi="Times New Roman"/>
          <w:sz w:val="24"/>
          <w:szCs w:val="24"/>
        </w:rPr>
        <w:t>Islamic personal law</w:t>
      </w:r>
      <w:r>
        <w:rPr>
          <w:rStyle w:val="FootnoteReference"/>
          <w:rFonts w:ascii="Times New Roman" w:hAnsi="Times New Roman"/>
          <w:sz w:val="24"/>
          <w:szCs w:val="24"/>
        </w:rPr>
        <w:footnoteReference w:id="96"/>
      </w:r>
      <w:r>
        <w:rPr>
          <w:rFonts w:ascii="Times New Roman" w:hAnsi="Times New Roman"/>
          <w:sz w:val="24"/>
          <w:szCs w:val="24"/>
        </w:rPr>
        <w:t xml:space="preserve"> and practices</w:t>
      </w:r>
      <w:r>
        <w:rPr>
          <w:rStyle w:val="FootnoteReference"/>
          <w:rFonts w:ascii="Times New Roman" w:hAnsi="Times New Roman"/>
          <w:sz w:val="24"/>
          <w:szCs w:val="24"/>
        </w:rPr>
        <w:footnoteReference w:id="97"/>
      </w:r>
      <w:r>
        <w:rPr>
          <w:rFonts w:ascii="Times New Roman" w:hAnsi="Times New Roman"/>
          <w:sz w:val="24"/>
          <w:szCs w:val="24"/>
        </w:rPr>
        <w:t xml:space="preserve"> which in the real sense include </w:t>
      </w:r>
      <w:proofErr w:type="spellStart"/>
      <w:r>
        <w:rPr>
          <w:rFonts w:ascii="Times New Roman" w:hAnsi="Times New Roman"/>
          <w:i/>
          <w:iCs/>
          <w:sz w:val="24"/>
          <w:szCs w:val="24"/>
        </w:rPr>
        <w:t>Mu’amalat</w:t>
      </w:r>
      <w:proofErr w:type="spellEnd"/>
      <w:r>
        <w:rPr>
          <w:rFonts w:ascii="Times New Roman" w:hAnsi="Times New Roman"/>
          <w:sz w:val="24"/>
          <w:szCs w:val="24"/>
        </w:rPr>
        <w:t xml:space="preserve"> (transactions) and allied matters.</w:t>
      </w:r>
      <w:r>
        <w:rPr>
          <w:rStyle w:val="FootnoteReference"/>
          <w:rFonts w:ascii="Times New Roman" w:hAnsi="Times New Roman"/>
          <w:sz w:val="24"/>
          <w:szCs w:val="24"/>
        </w:rPr>
        <w:footnoteReference w:id="98"/>
      </w:r>
      <w:r>
        <w:rPr>
          <w:rFonts w:ascii="Times New Roman" w:hAnsi="Times New Roman"/>
          <w:sz w:val="24"/>
          <w:szCs w:val="24"/>
        </w:rPr>
        <w:t xml:space="preserve"> Islamic Law of Transactions covers corporate activities from which the doctrine of artificial personality sprung. It is noteworthy that the practical application of corporate personality doctrine </w:t>
      </w:r>
      <w:r>
        <w:rPr>
          <w:rFonts w:ascii="Times New Roman" w:hAnsi="Times New Roman"/>
          <w:sz w:val="24"/>
          <w:szCs w:val="24"/>
        </w:rPr>
        <w:lastRenderedPageBreak/>
        <w:t xml:space="preserve">is different under the Nigerian corporate law and </w:t>
      </w:r>
      <w:proofErr w:type="spellStart"/>
      <w:r>
        <w:rPr>
          <w:rFonts w:ascii="Times New Roman" w:hAnsi="Times New Roman"/>
          <w:sz w:val="24"/>
          <w:szCs w:val="24"/>
        </w:rPr>
        <w:t>Shari’ah</w:t>
      </w:r>
      <w:proofErr w:type="spellEnd"/>
      <w:r>
        <w:rPr>
          <w:rFonts w:ascii="Times New Roman" w:hAnsi="Times New Roman"/>
          <w:sz w:val="24"/>
          <w:szCs w:val="24"/>
        </w:rPr>
        <w:t xml:space="preserve"> in terms of liability. While the corporate managers under the Nigerian corporate law enjoy statutory protection of veil of incorporation save for the circumstances of corporate governance failure;</w:t>
      </w:r>
      <w:r>
        <w:rPr>
          <w:rStyle w:val="FootnoteReference"/>
          <w:rFonts w:ascii="Times New Roman" w:hAnsi="Times New Roman"/>
          <w:sz w:val="24"/>
          <w:szCs w:val="24"/>
        </w:rPr>
        <w:footnoteReference w:id="99"/>
      </w:r>
      <w:r>
        <w:rPr>
          <w:rFonts w:ascii="Times New Roman" w:hAnsi="Times New Roman"/>
          <w:sz w:val="24"/>
          <w:szCs w:val="24"/>
        </w:rPr>
        <w:t xml:space="preserve"> such protection is not available for managers who intend to be bound by the provisions of </w:t>
      </w:r>
      <w:proofErr w:type="spellStart"/>
      <w:r>
        <w:rPr>
          <w:rFonts w:ascii="Times New Roman" w:hAnsi="Times New Roman"/>
          <w:i/>
          <w:iCs/>
          <w:sz w:val="24"/>
          <w:szCs w:val="24"/>
        </w:rPr>
        <w:t>Shari’ah</w:t>
      </w:r>
      <w:proofErr w:type="spellEnd"/>
      <w:r>
        <w:rPr>
          <w:rFonts w:ascii="Times New Roman" w:hAnsi="Times New Roman"/>
          <w:sz w:val="24"/>
          <w:szCs w:val="24"/>
        </w:rPr>
        <w:t xml:space="preserve"> because </w:t>
      </w:r>
      <w:proofErr w:type="spellStart"/>
      <w:r>
        <w:rPr>
          <w:rFonts w:ascii="Times New Roman" w:hAnsi="Times New Roman"/>
          <w:i/>
          <w:iCs/>
          <w:sz w:val="24"/>
          <w:szCs w:val="24"/>
        </w:rPr>
        <w:t>Shari’ah</w:t>
      </w:r>
      <w:proofErr w:type="spellEnd"/>
      <w:r>
        <w:rPr>
          <w:rFonts w:ascii="Times New Roman" w:hAnsi="Times New Roman"/>
          <w:sz w:val="24"/>
          <w:szCs w:val="24"/>
        </w:rPr>
        <w:t xml:space="preserve"> imposes personal liability in all situations despite the recognition of the doctrine of artificial personality in Islamic jurisprudence.</w:t>
      </w:r>
      <w:r>
        <w:rPr>
          <w:rStyle w:val="FootnoteReference"/>
          <w:rFonts w:ascii="Times New Roman" w:hAnsi="Times New Roman"/>
          <w:sz w:val="24"/>
          <w:szCs w:val="24"/>
        </w:rPr>
        <w:footnoteReference w:id="100"/>
      </w:r>
      <w:r>
        <w:rPr>
          <w:rFonts w:ascii="Times New Roman" w:hAnsi="Times New Roman"/>
          <w:sz w:val="24"/>
          <w:szCs w:val="24"/>
        </w:rPr>
        <w:t xml:space="preserve"> It is instructive to note that Islamic jurists usually interpret the Hadith of Ibn Umar cited above as creating exception of vicarious liability to the general rule of personal liability;</w:t>
      </w:r>
      <w:r>
        <w:rPr>
          <w:rStyle w:val="FootnoteReference"/>
          <w:rFonts w:ascii="Times New Roman" w:hAnsi="Times New Roman"/>
          <w:sz w:val="24"/>
          <w:szCs w:val="24"/>
        </w:rPr>
        <w:footnoteReference w:id="101"/>
      </w:r>
      <w:r>
        <w:rPr>
          <w:rFonts w:ascii="Times New Roman" w:hAnsi="Times New Roman"/>
          <w:sz w:val="24"/>
          <w:szCs w:val="24"/>
        </w:rPr>
        <w:t xml:space="preserve"> such interpretation does not cover the circumstance of corporate/human agents’ relationship. Thus circumstances that provide exception of vicarious liability to personal liability in Islamic jurisprudence is only applicable where the principal and agent are both natural persons as in the case of master/servant, master/slave parent/ward, coercer/coerced, commander/commanded relationships.</w:t>
      </w:r>
      <w:r>
        <w:rPr>
          <w:rStyle w:val="FootnoteReference"/>
          <w:rFonts w:ascii="Times New Roman" w:hAnsi="Times New Roman"/>
          <w:sz w:val="24"/>
          <w:szCs w:val="24"/>
        </w:rPr>
        <w:footnoteReference w:id="102"/>
      </w:r>
      <w:r>
        <w:rPr>
          <w:rFonts w:ascii="Times New Roman" w:hAnsi="Times New Roman"/>
          <w:sz w:val="24"/>
          <w:szCs w:val="24"/>
        </w:rPr>
        <w:t xml:space="preserve"> The principle of Islamic vicarious liability cannot be employed in situation of principal/agent who are of the status of artificial/natural persons.</w:t>
      </w:r>
      <w:r>
        <w:rPr>
          <w:rStyle w:val="FootnoteReference"/>
          <w:rFonts w:ascii="Times New Roman" w:hAnsi="Times New Roman"/>
          <w:sz w:val="24"/>
          <w:szCs w:val="24"/>
        </w:rPr>
        <w:footnoteReference w:id="103"/>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The greatest foreseen challenge in the event of corporate liability is how the rules of </w:t>
      </w:r>
      <w:proofErr w:type="spellStart"/>
      <w:r>
        <w:rPr>
          <w:rFonts w:ascii="Times New Roman" w:hAnsi="Times New Roman"/>
          <w:i/>
          <w:iCs/>
          <w:sz w:val="24"/>
          <w:szCs w:val="24"/>
        </w:rPr>
        <w:t>Shari’ah</w:t>
      </w:r>
      <w:proofErr w:type="spellEnd"/>
      <w:r>
        <w:rPr>
          <w:rFonts w:ascii="Times New Roman" w:hAnsi="Times New Roman"/>
          <w:sz w:val="24"/>
          <w:szCs w:val="24"/>
        </w:rPr>
        <w:t xml:space="preserve"> will come to play to personally hold the affected corporate managers responsible for the consequence of his actions. Under </w:t>
      </w:r>
      <w:proofErr w:type="spellStart"/>
      <w:r>
        <w:rPr>
          <w:rFonts w:ascii="Times New Roman" w:hAnsi="Times New Roman"/>
          <w:i/>
          <w:iCs/>
          <w:sz w:val="24"/>
          <w:szCs w:val="24"/>
        </w:rPr>
        <w:t>Shari’ah</w:t>
      </w:r>
      <w:proofErr w:type="spellEnd"/>
      <w:r>
        <w:rPr>
          <w:rFonts w:ascii="Times New Roman" w:hAnsi="Times New Roman"/>
          <w:sz w:val="24"/>
          <w:szCs w:val="24"/>
        </w:rPr>
        <w:t xml:space="preserve">, there are plethora of remedies to do </w:t>
      </w:r>
      <w:r w:rsidRPr="009F074B">
        <w:rPr>
          <w:rFonts w:ascii="Times New Roman" w:hAnsi="Times New Roman"/>
          <w:sz w:val="24"/>
          <w:szCs w:val="24"/>
        </w:rPr>
        <w:t>j</w:t>
      </w:r>
      <w:r>
        <w:rPr>
          <w:rFonts w:ascii="Times New Roman" w:hAnsi="Times New Roman"/>
          <w:sz w:val="24"/>
          <w:szCs w:val="24"/>
        </w:rPr>
        <w:t>ustice to both civil and criminal wrongs under the Islamic Laws of Torts/Personal Injury and Islamic Law of Crimes respectively.</w:t>
      </w:r>
      <w:r>
        <w:rPr>
          <w:rStyle w:val="FootnoteReference"/>
          <w:rFonts w:ascii="Times New Roman" w:hAnsi="Times New Roman"/>
          <w:sz w:val="24"/>
          <w:szCs w:val="24"/>
        </w:rPr>
        <w:footnoteReference w:id="104"/>
      </w:r>
      <w:r>
        <w:rPr>
          <w:rFonts w:ascii="Times New Roman" w:hAnsi="Times New Roman"/>
          <w:sz w:val="24"/>
          <w:szCs w:val="24"/>
        </w:rPr>
        <w:t xml:space="preserve"> Thus, a conscious Muslim who desires to activate the provisions of section 38 of the Constitution of the Federal Republic of Nigeria, 1999 (as </w:t>
      </w:r>
      <w:r w:rsidRPr="00C32025">
        <w:rPr>
          <w:rFonts w:ascii="Times New Roman" w:hAnsi="Times New Roman"/>
          <w:sz w:val="24"/>
          <w:szCs w:val="24"/>
        </w:rPr>
        <w:t>amended)</w:t>
      </w:r>
      <w:r>
        <w:rPr>
          <w:rFonts w:ascii="Times New Roman" w:hAnsi="Times New Roman"/>
          <w:sz w:val="24"/>
          <w:szCs w:val="24"/>
        </w:rPr>
        <w:t xml:space="preserve"> vis-à-vis, relevant provision of Qur’an would face the problem of jurisdiction of court to contend with. Corporate liability cases in Nigeria are largely referred to English Courts such as the Federal High Court,</w:t>
      </w:r>
      <w:r>
        <w:rPr>
          <w:rStyle w:val="FootnoteReference"/>
          <w:rFonts w:ascii="Times New Roman" w:hAnsi="Times New Roman"/>
          <w:sz w:val="24"/>
          <w:szCs w:val="24"/>
        </w:rPr>
        <w:footnoteReference w:id="105"/>
      </w:r>
      <w:r>
        <w:rPr>
          <w:rFonts w:ascii="Times New Roman" w:hAnsi="Times New Roman"/>
          <w:sz w:val="24"/>
          <w:szCs w:val="24"/>
        </w:rPr>
        <w:t xml:space="preserve"> Investment and Security Tribunal</w:t>
      </w:r>
      <w:r>
        <w:rPr>
          <w:rStyle w:val="FootnoteReference"/>
          <w:rFonts w:ascii="Times New Roman" w:hAnsi="Times New Roman"/>
          <w:sz w:val="24"/>
          <w:szCs w:val="24"/>
        </w:rPr>
        <w:footnoteReference w:id="106"/>
      </w:r>
      <w:r>
        <w:rPr>
          <w:rFonts w:ascii="Times New Roman" w:hAnsi="Times New Roman"/>
          <w:sz w:val="24"/>
          <w:szCs w:val="24"/>
        </w:rPr>
        <w:t xml:space="preserve"> amongst other competent Court of jurisdiction in line with the subject matter of the cases. The so-called English Courts in Nigeria will do no more than to merely activate the legal implication of corporate personality under the Nigerian corporate law. </w:t>
      </w:r>
      <w:r>
        <w:rPr>
          <w:rFonts w:ascii="Times New Roman" w:hAnsi="Times New Roman"/>
          <w:sz w:val="24"/>
          <w:szCs w:val="24"/>
        </w:rPr>
        <w:lastRenderedPageBreak/>
        <w:t xml:space="preserve">Thus, to this extent, the outright imposition of personal liability on the corporate manager by the provision of </w:t>
      </w:r>
      <w:proofErr w:type="spellStart"/>
      <w:r>
        <w:rPr>
          <w:rFonts w:ascii="Times New Roman" w:hAnsi="Times New Roman"/>
          <w:i/>
          <w:iCs/>
          <w:sz w:val="24"/>
          <w:szCs w:val="24"/>
        </w:rPr>
        <w:t>Shari’ah</w:t>
      </w:r>
      <w:proofErr w:type="spellEnd"/>
      <w:r>
        <w:rPr>
          <w:rFonts w:ascii="Times New Roman" w:hAnsi="Times New Roman"/>
          <w:sz w:val="24"/>
          <w:szCs w:val="24"/>
        </w:rPr>
        <w:t xml:space="preserve"> cannot be enforced in the English Courts. Worse still, the jurisdictions of the available </w:t>
      </w:r>
      <w:proofErr w:type="spellStart"/>
      <w:r>
        <w:rPr>
          <w:rFonts w:ascii="Times New Roman" w:hAnsi="Times New Roman"/>
          <w:i/>
          <w:iCs/>
          <w:sz w:val="24"/>
          <w:szCs w:val="24"/>
        </w:rPr>
        <w:t>Shari’ah</w:t>
      </w:r>
      <w:proofErr w:type="spellEnd"/>
      <w:r>
        <w:rPr>
          <w:rFonts w:ascii="Times New Roman" w:hAnsi="Times New Roman"/>
          <w:sz w:val="24"/>
          <w:szCs w:val="24"/>
        </w:rPr>
        <w:t xml:space="preserve"> Courts in the country have not been extended to cover corporate liability cases.</w:t>
      </w:r>
      <w:r>
        <w:rPr>
          <w:rStyle w:val="FootnoteReference"/>
          <w:rFonts w:ascii="Times New Roman" w:hAnsi="Times New Roman"/>
          <w:sz w:val="24"/>
          <w:szCs w:val="24"/>
        </w:rPr>
        <w:footnoteReference w:id="107"/>
      </w:r>
      <w:r w:rsidRPr="00A04EE1">
        <w:rPr>
          <w:rFonts w:ascii="Times New Roman" w:hAnsi="Times New Roman"/>
          <w:color w:val="FF0000"/>
          <w:sz w:val="24"/>
          <w:szCs w:val="24"/>
        </w:rPr>
        <w:t xml:space="preserve"> </w:t>
      </w:r>
      <w:r w:rsidRPr="00C32025">
        <w:rPr>
          <w:rFonts w:ascii="Times New Roman" w:hAnsi="Times New Roman"/>
          <w:sz w:val="24"/>
          <w:szCs w:val="24"/>
        </w:rPr>
        <w:t>Therefore, this</w:t>
      </w:r>
      <w:r>
        <w:rPr>
          <w:rFonts w:ascii="Times New Roman" w:hAnsi="Times New Roman"/>
          <w:sz w:val="24"/>
          <w:szCs w:val="24"/>
        </w:rPr>
        <w:t xml:space="preserve"> remains a very strong challenge to the practical application and enforcement of </w:t>
      </w:r>
      <w:proofErr w:type="spellStart"/>
      <w:r>
        <w:rPr>
          <w:rFonts w:ascii="Times New Roman" w:hAnsi="Times New Roman"/>
          <w:i/>
          <w:iCs/>
          <w:sz w:val="24"/>
          <w:szCs w:val="24"/>
        </w:rPr>
        <w:t>Shari’ah</w:t>
      </w:r>
      <w:proofErr w:type="spellEnd"/>
      <w:r>
        <w:rPr>
          <w:rFonts w:ascii="Times New Roman" w:hAnsi="Times New Roman"/>
          <w:sz w:val="24"/>
          <w:szCs w:val="24"/>
        </w:rPr>
        <w:t xml:space="preserve"> rules to corporate liability cases as extension of Islamic religious practices within the intendment of section 38 of the Constitution.   </w:t>
      </w:r>
    </w:p>
    <w:p w:rsidR="00FD6A1D" w:rsidRPr="007E7C0E" w:rsidRDefault="00FD6A1D" w:rsidP="007E7C0E">
      <w:pPr>
        <w:spacing w:line="360" w:lineRule="auto"/>
        <w:ind w:left="90" w:right="-63"/>
        <w:jc w:val="both"/>
        <w:rPr>
          <w:rFonts w:ascii="Times New Roman" w:hAnsi="Times New Roman"/>
          <w:sz w:val="24"/>
          <w:szCs w:val="24"/>
        </w:rPr>
      </w:pPr>
      <w:r>
        <w:rPr>
          <w:rFonts w:ascii="Times New Roman" w:hAnsi="Times New Roman"/>
          <w:sz w:val="24"/>
          <w:szCs w:val="24"/>
        </w:rPr>
        <w:t>Invariably, matters arising from the operation of CAMA or against a body corporate cannot be subject of adjudication in an Islamic court which can apply the pristine Islamic rules. Thus, there is need to redefine or expansively interpret Islamic personal matters to include activities of Islamic corporate managers/practitioners with a view to allowing Islamic law to take its due course on them. This will undoubtedly enable competent Islamic courts in the country to adjudicate on such matters with a view to sharing jurisdiction with the English Courts in appropriate situations.</w:t>
      </w:r>
    </w:p>
    <w:p w:rsidR="00FD6A1D" w:rsidRDefault="00FD6A1D" w:rsidP="00FD6A1D">
      <w:pPr>
        <w:spacing w:after="0" w:line="360" w:lineRule="auto"/>
        <w:ind w:left="90" w:right="-63"/>
        <w:jc w:val="both"/>
        <w:rPr>
          <w:rFonts w:ascii="Times New Roman" w:hAnsi="Times New Roman"/>
          <w:b/>
          <w:bCs/>
          <w:sz w:val="24"/>
          <w:szCs w:val="24"/>
        </w:rPr>
      </w:pPr>
      <w:r w:rsidRPr="00C32025">
        <w:rPr>
          <w:rFonts w:ascii="Times New Roman" w:hAnsi="Times New Roman"/>
          <w:b/>
          <w:bCs/>
          <w:sz w:val="24"/>
          <w:szCs w:val="24"/>
        </w:rPr>
        <w:t>6.</w:t>
      </w:r>
      <w:r>
        <w:rPr>
          <w:rFonts w:ascii="Times New Roman" w:hAnsi="Times New Roman"/>
          <w:b/>
          <w:bCs/>
          <w:sz w:val="24"/>
          <w:szCs w:val="24"/>
        </w:rPr>
        <w:t xml:space="preserve"> Conclusion and Recommendations</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The Nigerian corporate law, which enjoys dominance over the rules of </w:t>
      </w:r>
      <w:proofErr w:type="spellStart"/>
      <w:r>
        <w:rPr>
          <w:rFonts w:ascii="Times New Roman" w:hAnsi="Times New Roman"/>
          <w:sz w:val="24"/>
          <w:szCs w:val="24"/>
        </w:rPr>
        <w:t>Shari’ah</w:t>
      </w:r>
      <w:proofErr w:type="spellEnd"/>
      <w:r>
        <w:rPr>
          <w:rFonts w:ascii="Times New Roman" w:hAnsi="Times New Roman"/>
          <w:sz w:val="24"/>
          <w:szCs w:val="24"/>
        </w:rPr>
        <w:t xml:space="preserve">, offers statutory protection to corporate managers from associated risks involved in corporate business transactions. However, in practice such statutory protection is being used by corporate managers to perpetuate corporate governance failure. The paper finds that both the Nigerian corporate law and </w:t>
      </w:r>
      <w:proofErr w:type="spellStart"/>
      <w:r>
        <w:rPr>
          <w:rFonts w:ascii="Times New Roman" w:hAnsi="Times New Roman"/>
          <w:sz w:val="24"/>
          <w:szCs w:val="24"/>
        </w:rPr>
        <w:t>Shari’ah</w:t>
      </w:r>
      <w:proofErr w:type="spellEnd"/>
      <w:r>
        <w:rPr>
          <w:rFonts w:ascii="Times New Roman" w:hAnsi="Times New Roman"/>
          <w:sz w:val="24"/>
          <w:szCs w:val="24"/>
        </w:rPr>
        <w:t xml:space="preserve"> gave recognition to the doctrine of corporate personality.</w:t>
      </w:r>
      <w:r>
        <w:rPr>
          <w:rStyle w:val="FootnoteReference"/>
          <w:rFonts w:ascii="Times New Roman" w:hAnsi="Times New Roman"/>
          <w:sz w:val="24"/>
          <w:szCs w:val="24"/>
        </w:rPr>
        <w:footnoteReference w:id="108"/>
      </w:r>
      <w:r>
        <w:rPr>
          <w:rFonts w:ascii="Times New Roman" w:hAnsi="Times New Roman"/>
          <w:sz w:val="24"/>
          <w:szCs w:val="24"/>
        </w:rPr>
        <w:t xml:space="preserve"> The finds further that the implication of corporate personality doctrine under the Nigerian corporate law and </w:t>
      </w:r>
      <w:proofErr w:type="spellStart"/>
      <w:r>
        <w:rPr>
          <w:rFonts w:ascii="Times New Roman" w:hAnsi="Times New Roman"/>
          <w:sz w:val="24"/>
          <w:szCs w:val="24"/>
        </w:rPr>
        <w:t>Shari’ah</w:t>
      </w:r>
      <w:proofErr w:type="spellEnd"/>
      <w:r>
        <w:rPr>
          <w:rFonts w:ascii="Times New Roman" w:hAnsi="Times New Roman"/>
          <w:sz w:val="24"/>
          <w:szCs w:val="24"/>
        </w:rPr>
        <w:t xml:space="preserve"> differs.</w:t>
      </w:r>
      <w:r>
        <w:rPr>
          <w:rStyle w:val="FootnoteReference"/>
          <w:rFonts w:ascii="Times New Roman" w:hAnsi="Times New Roman"/>
          <w:sz w:val="24"/>
          <w:szCs w:val="24"/>
        </w:rPr>
        <w:footnoteReference w:id="109"/>
      </w:r>
      <w:r>
        <w:rPr>
          <w:rFonts w:ascii="Times New Roman" w:hAnsi="Times New Roman"/>
          <w:sz w:val="24"/>
          <w:szCs w:val="24"/>
        </w:rPr>
        <w:t xml:space="preserve"> As the Nigerian corporate law </w:t>
      </w:r>
      <w:r w:rsidRPr="00B4252A">
        <w:rPr>
          <w:rFonts w:ascii="Times New Roman" w:hAnsi="Times New Roman"/>
          <w:i/>
          <w:sz w:val="24"/>
          <w:szCs w:val="24"/>
        </w:rPr>
        <w:t>prima</w:t>
      </w:r>
      <w:r>
        <w:rPr>
          <w:rFonts w:ascii="Times New Roman" w:hAnsi="Times New Roman"/>
          <w:sz w:val="24"/>
          <w:szCs w:val="24"/>
        </w:rPr>
        <w:t xml:space="preserve"> </w:t>
      </w:r>
      <w:r w:rsidRPr="00B4252A">
        <w:rPr>
          <w:rFonts w:ascii="Times New Roman" w:hAnsi="Times New Roman"/>
          <w:i/>
          <w:sz w:val="24"/>
          <w:szCs w:val="24"/>
        </w:rPr>
        <w:t>facie</w:t>
      </w:r>
      <w:r>
        <w:rPr>
          <w:rFonts w:ascii="Times New Roman" w:hAnsi="Times New Roman"/>
          <w:sz w:val="24"/>
          <w:szCs w:val="24"/>
        </w:rPr>
        <w:t xml:space="preserve"> gave the corporations vicarious liability for the acts done by their managers, </w:t>
      </w:r>
      <w:proofErr w:type="spellStart"/>
      <w:r>
        <w:rPr>
          <w:rFonts w:ascii="Times New Roman" w:hAnsi="Times New Roman"/>
          <w:sz w:val="24"/>
          <w:szCs w:val="24"/>
        </w:rPr>
        <w:t>Shari’ah</w:t>
      </w:r>
      <w:proofErr w:type="spellEnd"/>
      <w:r>
        <w:rPr>
          <w:rFonts w:ascii="Times New Roman" w:hAnsi="Times New Roman"/>
          <w:sz w:val="24"/>
          <w:szCs w:val="24"/>
        </w:rPr>
        <w:t xml:space="preserve"> adopts outright individual liability by way of modification.</w:t>
      </w:r>
      <w:r>
        <w:rPr>
          <w:rStyle w:val="FootnoteReference"/>
          <w:rFonts w:ascii="Times New Roman" w:hAnsi="Times New Roman"/>
          <w:sz w:val="24"/>
          <w:szCs w:val="24"/>
        </w:rPr>
        <w:footnoteReference w:id="110"/>
      </w:r>
      <w:r>
        <w:rPr>
          <w:rFonts w:ascii="Times New Roman" w:hAnsi="Times New Roman"/>
          <w:sz w:val="24"/>
          <w:szCs w:val="24"/>
        </w:rPr>
        <w:t xml:space="preserve"> </w:t>
      </w:r>
    </w:p>
    <w:p w:rsidR="00FD6A1D" w:rsidRDefault="00FD6A1D" w:rsidP="00FD6A1D">
      <w:pPr>
        <w:spacing w:line="360" w:lineRule="auto"/>
        <w:ind w:left="90" w:right="-63"/>
        <w:jc w:val="both"/>
        <w:rPr>
          <w:rFonts w:ascii="Times New Roman" w:hAnsi="Times New Roman"/>
          <w:sz w:val="24"/>
          <w:szCs w:val="24"/>
        </w:rPr>
      </w:pPr>
      <w:r>
        <w:rPr>
          <w:rFonts w:ascii="Times New Roman" w:hAnsi="Times New Roman"/>
          <w:sz w:val="24"/>
          <w:szCs w:val="24"/>
        </w:rPr>
        <w:t xml:space="preserve">It is found also that engagement in full-fledge practice and application of the corporate personality doctrine in line with </w:t>
      </w:r>
      <w:proofErr w:type="spellStart"/>
      <w:r>
        <w:rPr>
          <w:rFonts w:ascii="Times New Roman" w:hAnsi="Times New Roman"/>
          <w:i/>
          <w:iCs/>
          <w:sz w:val="24"/>
          <w:szCs w:val="24"/>
        </w:rPr>
        <w:t>Shari’ah</w:t>
      </w:r>
      <w:proofErr w:type="spellEnd"/>
      <w:r>
        <w:rPr>
          <w:rFonts w:ascii="Times New Roman" w:hAnsi="Times New Roman"/>
          <w:sz w:val="24"/>
          <w:szCs w:val="24"/>
        </w:rPr>
        <w:t xml:space="preserve"> modification is not fully supported by the existing framework in the country. There is need to blend the existing framework to accommodate the </w:t>
      </w:r>
      <w:proofErr w:type="spellStart"/>
      <w:r>
        <w:rPr>
          <w:rFonts w:ascii="Times New Roman" w:hAnsi="Times New Roman"/>
          <w:i/>
          <w:iCs/>
          <w:sz w:val="24"/>
          <w:szCs w:val="24"/>
        </w:rPr>
        <w:t>Shari’ah</w:t>
      </w:r>
      <w:proofErr w:type="spellEnd"/>
      <w:r>
        <w:rPr>
          <w:rFonts w:ascii="Times New Roman" w:hAnsi="Times New Roman"/>
          <w:sz w:val="24"/>
          <w:szCs w:val="24"/>
        </w:rPr>
        <w:t xml:space="preserve"> modification in line with the intendment of freedom of religious practices espoused in Section 38 of Constitution </w:t>
      </w:r>
      <w:r>
        <w:rPr>
          <w:rFonts w:ascii="Times New Roman" w:hAnsi="Times New Roman"/>
          <w:sz w:val="24"/>
          <w:szCs w:val="24"/>
        </w:rPr>
        <w:lastRenderedPageBreak/>
        <w:t xml:space="preserve">of the Federal Republic of Nigeria, 1999 (as amended). This will go a long way in contributing to </w:t>
      </w:r>
      <w:r w:rsidRPr="008E0C94">
        <w:rPr>
          <w:rFonts w:ascii="Times New Roman" w:hAnsi="Times New Roman"/>
          <w:sz w:val="24"/>
          <w:szCs w:val="24"/>
        </w:rPr>
        <w:t>the</w:t>
      </w:r>
      <w:r>
        <w:rPr>
          <w:rFonts w:ascii="Times New Roman" w:hAnsi="Times New Roman"/>
          <w:sz w:val="24"/>
          <w:szCs w:val="24"/>
        </w:rPr>
        <w:t xml:space="preserve"> prevention of corporate governance failure amongst Muslims corporate managers in the country. It is hereby recommended as follows:</w:t>
      </w:r>
    </w:p>
    <w:p w:rsidR="00FD6A1D" w:rsidRDefault="00FD6A1D" w:rsidP="00FD6A1D">
      <w:pPr>
        <w:spacing w:line="360" w:lineRule="auto"/>
        <w:ind w:left="90" w:right="-63" w:hanging="720"/>
        <w:jc w:val="both"/>
        <w:rPr>
          <w:rFonts w:ascii="Times New Roman" w:hAnsi="Times New Roman"/>
          <w:sz w:val="24"/>
          <w:szCs w:val="24"/>
        </w:rPr>
      </w:pPr>
      <w:proofErr w:type="spellStart"/>
      <w:r>
        <w:rPr>
          <w:rFonts w:ascii="Times New Roman" w:hAnsi="Times New Roman"/>
          <w:sz w:val="24"/>
          <w:szCs w:val="24"/>
        </w:rPr>
        <w:t>i</w:t>
      </w:r>
      <w:proofErr w:type="spellEnd"/>
      <w:r>
        <w:rPr>
          <w:rFonts w:ascii="Times New Roman" w:hAnsi="Times New Roman"/>
          <w:sz w:val="24"/>
          <w:szCs w:val="24"/>
        </w:rPr>
        <w:t>.</w:t>
      </w:r>
      <w:r>
        <w:rPr>
          <w:rFonts w:ascii="Times New Roman" w:hAnsi="Times New Roman"/>
          <w:sz w:val="24"/>
          <w:szCs w:val="24"/>
        </w:rPr>
        <w:tab/>
        <w:t xml:space="preserve">Islamic personal law under section 277 of the Constitution should be amended to include corporate activities of Muslim managers so as to give room for dealing with them in accordance with </w:t>
      </w:r>
      <w:proofErr w:type="spellStart"/>
      <w:r>
        <w:rPr>
          <w:rFonts w:ascii="Times New Roman" w:hAnsi="Times New Roman"/>
          <w:i/>
          <w:iCs/>
          <w:sz w:val="24"/>
          <w:szCs w:val="24"/>
        </w:rPr>
        <w:t>Shari’ah</w:t>
      </w:r>
      <w:proofErr w:type="spellEnd"/>
      <w:r>
        <w:rPr>
          <w:rFonts w:ascii="Times New Roman" w:hAnsi="Times New Roman"/>
          <w:sz w:val="24"/>
          <w:szCs w:val="24"/>
        </w:rPr>
        <w:t xml:space="preserve"> in the event of corporate liability. Doing so will enhance absolute activation of the freedom of religious practices espoused in section 38 of the Constitution of the Federal Republic of Nigeria, 1999, </w:t>
      </w:r>
      <w:r w:rsidRPr="00ED2099">
        <w:rPr>
          <w:rFonts w:ascii="Times New Roman" w:hAnsi="Times New Roman"/>
          <w:sz w:val="24"/>
          <w:szCs w:val="24"/>
        </w:rPr>
        <w:t>(as amended)</w:t>
      </w:r>
      <w:r>
        <w:rPr>
          <w:rFonts w:ascii="Times New Roman" w:hAnsi="Times New Roman"/>
          <w:sz w:val="24"/>
          <w:szCs w:val="24"/>
        </w:rPr>
        <w:t xml:space="preserve">. </w:t>
      </w:r>
    </w:p>
    <w:p w:rsidR="00FD6A1D" w:rsidRDefault="00FD6A1D" w:rsidP="00FD6A1D">
      <w:pPr>
        <w:spacing w:line="360" w:lineRule="auto"/>
        <w:ind w:left="90" w:right="-63" w:hanging="720"/>
        <w:jc w:val="both"/>
        <w:rPr>
          <w:rFonts w:ascii="Times New Roman" w:hAnsi="Times New Roman"/>
          <w:sz w:val="24"/>
          <w:szCs w:val="24"/>
        </w:rPr>
      </w:pPr>
      <w:r>
        <w:rPr>
          <w:rFonts w:ascii="Times New Roman" w:hAnsi="Times New Roman"/>
          <w:sz w:val="24"/>
          <w:szCs w:val="24"/>
        </w:rPr>
        <w:t>ii.</w:t>
      </w:r>
      <w:r>
        <w:rPr>
          <w:rFonts w:ascii="Times New Roman" w:hAnsi="Times New Roman"/>
          <w:sz w:val="24"/>
          <w:szCs w:val="24"/>
        </w:rPr>
        <w:tab/>
      </w:r>
      <w:proofErr w:type="spellStart"/>
      <w:r>
        <w:rPr>
          <w:rFonts w:ascii="Times New Roman" w:hAnsi="Times New Roman"/>
          <w:sz w:val="24"/>
          <w:szCs w:val="24"/>
        </w:rPr>
        <w:t>Shari’ah</w:t>
      </w:r>
      <w:proofErr w:type="spellEnd"/>
      <w:r>
        <w:rPr>
          <w:rFonts w:ascii="Times New Roman" w:hAnsi="Times New Roman"/>
          <w:sz w:val="24"/>
          <w:szCs w:val="24"/>
        </w:rPr>
        <w:t xml:space="preserve"> Court of Appeal’s jurisdiction should be expanded to include hearing and determining matters (as the Court of first instance) bothering on corporate activities of Muslim managers with a view to enhance practical application of the corporate personality doctrine in line with dictates of </w:t>
      </w:r>
      <w:proofErr w:type="spellStart"/>
      <w:r>
        <w:rPr>
          <w:rFonts w:ascii="Times New Roman" w:hAnsi="Times New Roman"/>
          <w:sz w:val="24"/>
          <w:szCs w:val="24"/>
        </w:rPr>
        <w:t>Shari’ah</w:t>
      </w:r>
      <w:proofErr w:type="spellEnd"/>
      <w:r>
        <w:rPr>
          <w:rFonts w:ascii="Times New Roman" w:hAnsi="Times New Roman"/>
          <w:sz w:val="24"/>
          <w:szCs w:val="24"/>
        </w:rPr>
        <w:t>. This will definitely prevent the undeserved statutory of protection of veil of incorporation especially in the case of unscrupulous corporate managers thereby serving as checks to Muslim corporate managers.</w:t>
      </w:r>
    </w:p>
    <w:p w:rsidR="00FD6A1D" w:rsidRPr="00FD6A1D" w:rsidRDefault="00FD6A1D" w:rsidP="00F663C3">
      <w:pPr>
        <w:spacing w:line="360" w:lineRule="auto"/>
        <w:ind w:left="90" w:right="-63" w:hanging="720"/>
        <w:jc w:val="both"/>
      </w:pPr>
      <w:r>
        <w:rPr>
          <w:rFonts w:ascii="Times New Roman" w:hAnsi="Times New Roman"/>
          <w:sz w:val="24"/>
          <w:szCs w:val="24"/>
        </w:rPr>
        <w:t>iii.</w:t>
      </w:r>
      <w:r>
        <w:rPr>
          <w:rFonts w:ascii="Times New Roman" w:hAnsi="Times New Roman"/>
          <w:sz w:val="24"/>
          <w:szCs w:val="24"/>
        </w:rPr>
        <w:tab/>
        <w:t xml:space="preserve">By way of amendment, Nigerian Corporate Law should take cognizance of </w:t>
      </w:r>
      <w:proofErr w:type="spellStart"/>
      <w:r>
        <w:rPr>
          <w:rFonts w:ascii="Times New Roman" w:hAnsi="Times New Roman"/>
          <w:i/>
          <w:iCs/>
          <w:sz w:val="24"/>
          <w:szCs w:val="24"/>
        </w:rPr>
        <w:t>Shari’ah</w:t>
      </w:r>
      <w:proofErr w:type="spellEnd"/>
      <w:r>
        <w:rPr>
          <w:rFonts w:ascii="Times New Roman" w:hAnsi="Times New Roman"/>
          <w:sz w:val="24"/>
          <w:szCs w:val="24"/>
        </w:rPr>
        <w:t xml:space="preserve"> modification of the doctrine of corporate personality to give room for application of the doctrine within the purview of rules of </w:t>
      </w:r>
      <w:proofErr w:type="spellStart"/>
      <w:r>
        <w:rPr>
          <w:rFonts w:ascii="Times New Roman" w:hAnsi="Times New Roman"/>
          <w:i/>
          <w:iCs/>
          <w:sz w:val="24"/>
          <w:szCs w:val="24"/>
        </w:rPr>
        <w:t>Shari’ah</w:t>
      </w:r>
      <w:proofErr w:type="spellEnd"/>
      <w:r>
        <w:rPr>
          <w:rFonts w:ascii="Times New Roman" w:hAnsi="Times New Roman"/>
          <w:sz w:val="24"/>
          <w:szCs w:val="24"/>
        </w:rPr>
        <w:t xml:space="preserve"> with a view to giving full effect to the provision of section 38 of the Constitution of the Federal Republic of Nigeria, 1999, (as amended).  </w:t>
      </w:r>
    </w:p>
    <w:sectPr w:rsidR="00FD6A1D" w:rsidRPr="00FD6A1D" w:rsidSect="00B011A2">
      <w:pgSz w:w="12240" w:h="15840"/>
      <w:pgMar w:top="117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A198E" w:rsidRDefault="00EA198E" w:rsidP="00FD6A1D">
      <w:pPr>
        <w:spacing w:after="0" w:line="240" w:lineRule="auto"/>
      </w:pPr>
      <w:r>
        <w:separator/>
      </w:r>
    </w:p>
  </w:endnote>
  <w:endnote w:type="continuationSeparator" w:id="0">
    <w:p w:rsidR="00EA198E" w:rsidRDefault="00EA198E" w:rsidP="00F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A198E" w:rsidRDefault="00EA198E" w:rsidP="00FD6A1D">
      <w:pPr>
        <w:spacing w:after="0" w:line="240" w:lineRule="auto"/>
      </w:pPr>
      <w:r>
        <w:separator/>
      </w:r>
    </w:p>
  </w:footnote>
  <w:footnote w:type="continuationSeparator" w:id="0">
    <w:p w:rsidR="00EA198E" w:rsidRDefault="00EA198E" w:rsidP="00FD6A1D">
      <w:pPr>
        <w:spacing w:after="0" w:line="240" w:lineRule="auto"/>
      </w:pPr>
      <w:r>
        <w:continuationSeparator/>
      </w:r>
    </w:p>
  </w:footnote>
  <w:footnote w:id="1">
    <w:p w:rsidR="00FD6A1D" w:rsidRPr="00822EE1" w:rsidRDefault="00FD6A1D" w:rsidP="00FD6A1D">
      <w:pPr>
        <w:pStyle w:val="FootnoteText"/>
        <w:spacing w:line="360" w:lineRule="auto"/>
        <w:jc w:val="both"/>
        <w:rPr>
          <w:rFonts w:ascii="Times New Roman" w:hAnsi="Times New Roman" w:cs="Times New Roman"/>
        </w:rPr>
      </w:pPr>
      <w:r w:rsidRPr="00822EE1">
        <w:rPr>
          <w:rFonts w:ascii="Times New Roman" w:hAnsi="Times New Roman" w:cs="Times New Roman"/>
        </w:rPr>
        <w:t xml:space="preserve">* LL.M; LL.B (Unilorin, Nigeria); Lecturer, Department of Islamic Law, Faculty of Law, Kwara State University (KWASU), Malete, Nigeria. Email: </w:t>
      </w:r>
      <w:hyperlink r:id="rId1" w:history="1">
        <w:r w:rsidRPr="00822EE1">
          <w:rPr>
            <w:rStyle w:val="Hyperlink"/>
            <w:rFonts w:ascii="Times New Roman" w:hAnsi="Times New Roman" w:cs="Times New Roman"/>
          </w:rPr>
          <w:t>ahmed.muhammed-mikaaeel@kwasu.edu.ng</w:t>
        </w:r>
      </w:hyperlink>
      <w:r w:rsidRPr="00822EE1">
        <w:rPr>
          <w:rFonts w:ascii="Times New Roman" w:hAnsi="Times New Roman" w:cs="Times New Roman"/>
        </w:rPr>
        <w:t>, +2347035064745</w:t>
      </w:r>
    </w:p>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C. Nyombi, </w:t>
      </w:r>
      <w:r w:rsidRPr="00822EE1">
        <w:rPr>
          <w:rFonts w:ascii="Times New Roman" w:hAnsi="Times New Roman" w:cs="Times New Roman"/>
          <w:i/>
          <w:iCs/>
        </w:rPr>
        <w:t>et al</w:t>
      </w:r>
      <w:r w:rsidRPr="00822EE1">
        <w:rPr>
          <w:rFonts w:ascii="Times New Roman" w:hAnsi="Times New Roman" w:cs="Times New Roman"/>
        </w:rPr>
        <w:t xml:space="preserve">, “Corporate Personality, Human Rights and Multinational Corporations” </w:t>
      </w:r>
      <w:r w:rsidRPr="00822EE1">
        <w:rPr>
          <w:rFonts w:ascii="Times New Roman" w:hAnsi="Times New Roman" w:cs="Times New Roman"/>
          <w:i/>
          <w:iCs/>
        </w:rPr>
        <w:t>International Company and Commercial Law Review</w:t>
      </w:r>
      <w:r w:rsidRPr="00822EE1">
        <w:rPr>
          <w:rFonts w:ascii="Times New Roman" w:hAnsi="Times New Roman" w:cs="Times New Roman"/>
        </w:rPr>
        <w:t xml:space="preserve"> 1-26 (2016).</w:t>
      </w:r>
      <w:r w:rsidRPr="00822EE1">
        <w:rPr>
          <w:rFonts w:ascii="Times New Roman" w:hAnsi="Times New Roman" w:cs="Times New Roman"/>
          <w:color w:val="FF0000"/>
        </w:rPr>
        <w:t xml:space="preserve"> </w:t>
      </w:r>
    </w:p>
  </w:footnote>
  <w:footnote w:id="2">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A.A. Muhammed-Mikaaeel, and F.F. Abdulrazaq, “Lifting the Corporate Veil by the Court: Nigerian and England in Focus” 6(1) </w:t>
      </w:r>
      <w:r w:rsidRPr="00822EE1">
        <w:rPr>
          <w:rFonts w:ascii="Times New Roman" w:hAnsi="Times New Roman" w:cs="Times New Roman"/>
          <w:i/>
        </w:rPr>
        <w:t>Joseph Ayo Babalola University Law Journal (JABU-L.J)</w:t>
      </w:r>
      <w:r w:rsidRPr="00822EE1">
        <w:rPr>
          <w:rFonts w:ascii="Times New Roman" w:hAnsi="Times New Roman" w:cs="Times New Roman"/>
        </w:rPr>
        <w:t xml:space="preserve"> 101-105 (2018).</w:t>
      </w:r>
      <w:r w:rsidRPr="00822EE1">
        <w:rPr>
          <w:rFonts w:ascii="Times New Roman" w:hAnsi="Times New Roman" w:cs="Times New Roman"/>
          <w:color w:val="FF0000"/>
        </w:rPr>
        <w:t xml:space="preserve"> </w:t>
      </w:r>
    </w:p>
  </w:footnote>
  <w:footnote w:id="3">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H. Hassan, </w:t>
      </w:r>
      <w:r w:rsidRPr="00822EE1">
        <w:rPr>
          <w:rFonts w:ascii="Times New Roman" w:hAnsi="Times New Roman" w:cs="Times New Roman"/>
          <w:i/>
          <w:iCs/>
        </w:rPr>
        <w:t>et al</w:t>
      </w:r>
      <w:r w:rsidRPr="00822EE1">
        <w:rPr>
          <w:rFonts w:ascii="Times New Roman" w:hAnsi="Times New Roman" w:cs="Times New Roman"/>
        </w:rPr>
        <w:t xml:space="preserve">, “The Myth of Corporate Personality: A Comparative Legal Analysis of the Doctrine of Corporate Personality of Malaysian and Islamic Laws” 6(11) </w:t>
      </w:r>
      <w:r w:rsidRPr="00822EE1">
        <w:rPr>
          <w:rFonts w:ascii="Times New Roman" w:hAnsi="Times New Roman" w:cs="Times New Roman"/>
          <w:i/>
          <w:iCs/>
        </w:rPr>
        <w:t>Australian Journal of Basic and Applied Sciences</w:t>
      </w:r>
      <w:r w:rsidRPr="00822EE1">
        <w:rPr>
          <w:rFonts w:ascii="Times New Roman" w:hAnsi="Times New Roman" w:cs="Times New Roman"/>
        </w:rPr>
        <w:t xml:space="preserve"> 191-192 (2012).</w:t>
      </w:r>
    </w:p>
  </w:footnote>
  <w:footnote w:id="4">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w:t>
      </w:r>
      <w:r w:rsidRPr="00822EE1">
        <w:rPr>
          <w:rFonts w:ascii="Times New Roman" w:hAnsi="Times New Roman" w:cs="Times New Roman"/>
          <w:i/>
        </w:rPr>
        <w:t>Salomon v. Salomon &amp; Co. Ltd</w:t>
      </w:r>
      <w:r w:rsidRPr="00822EE1">
        <w:rPr>
          <w:rFonts w:ascii="Times New Roman" w:hAnsi="Times New Roman" w:cs="Times New Roman"/>
        </w:rPr>
        <w:t xml:space="preserve"> (1897) 22 AC.</w:t>
      </w:r>
    </w:p>
  </w:footnote>
  <w:footnote w:id="5">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3 at 191-192.</w:t>
      </w:r>
    </w:p>
  </w:footnote>
  <w:footnote w:id="6">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K. Iwai, </w:t>
      </w:r>
      <w:r w:rsidRPr="00822EE1">
        <w:rPr>
          <w:rFonts w:ascii="Times New Roman" w:hAnsi="Times New Roman" w:cs="Times New Roman"/>
          <w:i/>
          <w:iCs/>
        </w:rPr>
        <w:t xml:space="preserve">What is Corporation? – The Corporate Personality Controversy and Comparative Corporate Governance, </w:t>
      </w:r>
      <w:r w:rsidRPr="00822EE1">
        <w:rPr>
          <w:rFonts w:ascii="Times New Roman" w:hAnsi="Times New Roman" w:cs="Times New Roman"/>
        </w:rPr>
        <w:t xml:space="preserve">1-2 (Legal Orderings and Economic Institutions, London: Routledge, 2001).  </w:t>
      </w:r>
    </w:p>
  </w:footnote>
  <w:footnote w:id="7">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The Companies and Allied Matters Act, 2020, s. 42.</w:t>
      </w:r>
    </w:p>
  </w:footnote>
  <w:footnote w:id="8">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9">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S.A. Bello, and O.C. Michael, “Piercing the Veil of Business incorporation: An Overview of what Warrants It” 3(2) </w:t>
      </w:r>
      <w:r w:rsidRPr="00822EE1">
        <w:rPr>
          <w:rFonts w:ascii="Times New Roman" w:hAnsi="Times New Roman" w:cs="Times New Roman"/>
          <w:i/>
        </w:rPr>
        <w:t>Review of Contemporary Business Research</w:t>
      </w:r>
      <w:r w:rsidRPr="00822EE1">
        <w:rPr>
          <w:rFonts w:ascii="Times New Roman" w:hAnsi="Times New Roman" w:cs="Times New Roman"/>
        </w:rPr>
        <w:t>, 118-120 (2014).</w:t>
      </w:r>
    </w:p>
  </w:footnote>
  <w:footnote w:id="10">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r w:rsidRPr="00822EE1">
        <w:rPr>
          <w:rFonts w:ascii="Times New Roman" w:hAnsi="Times New Roman" w:cs="Times New Roman"/>
        </w:rPr>
        <w:t xml:space="preserve">, at 120. </w:t>
      </w:r>
    </w:p>
  </w:footnote>
  <w:footnote w:id="11">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3 191-192.</w:t>
      </w:r>
    </w:p>
  </w:footnote>
  <w:footnote w:id="12">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7, s. 42. </w:t>
      </w:r>
    </w:p>
  </w:footnote>
  <w:footnote w:id="13">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4.</w:t>
      </w:r>
    </w:p>
  </w:footnote>
  <w:footnote w:id="14">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15">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The so-called otherwise known as human organs include the Board of Directors, the Members in Annual General Meeting, the Managing Director and the Secretary. See generally, C. Nnawuihe, “Management of Companies: The Exercise of Corporate Managerial Powers in Nigeria” 1-2, available at &lt;</w:t>
      </w:r>
      <w:hyperlink r:id="rId2" w:history="1">
        <w:r w:rsidRPr="00822EE1">
          <w:rPr>
            <w:rStyle w:val="Hyperlink"/>
            <w:rFonts w:ascii="Times New Roman" w:hAnsi="Times New Roman" w:cs="Times New Roman"/>
          </w:rPr>
          <w:t>https://the</w:t>
        </w:r>
      </w:hyperlink>
      <w:r w:rsidRPr="00822EE1">
        <w:rPr>
          <w:rFonts w:ascii="Times New Roman" w:hAnsi="Times New Roman" w:cs="Times New Roman"/>
        </w:rPr>
        <w:t xml:space="preserve">nigerialawyer.com/management-of-companies-the-exercise-of-corporate-managerial-powers-in-nigeria/&gt; (last visited on 27 November, 2020).  </w:t>
      </w:r>
    </w:p>
  </w:footnote>
  <w:footnote w:id="16">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A.A. Muhammed-Mikaaeel, </w:t>
      </w:r>
      <w:r w:rsidRPr="00822EE1">
        <w:rPr>
          <w:rFonts w:ascii="Times New Roman" w:hAnsi="Times New Roman" w:cs="Times New Roman"/>
          <w:i/>
          <w:iCs/>
        </w:rPr>
        <w:t>et al</w:t>
      </w:r>
      <w:r w:rsidRPr="00822EE1">
        <w:rPr>
          <w:rFonts w:ascii="Times New Roman" w:hAnsi="Times New Roman" w:cs="Times New Roman"/>
        </w:rPr>
        <w:t xml:space="preserve">, “Corporate Governance and Practice in Nigeria: Exploring its Tricky and Prognoses” 1(2) </w:t>
      </w:r>
      <w:r w:rsidRPr="00822EE1">
        <w:rPr>
          <w:rFonts w:ascii="Times New Roman" w:hAnsi="Times New Roman" w:cs="Times New Roman"/>
          <w:i/>
        </w:rPr>
        <w:t>International Review of Law and Jurisprudence (IRLJ)</w:t>
      </w:r>
      <w:r w:rsidRPr="00822EE1">
        <w:rPr>
          <w:rFonts w:ascii="Times New Roman" w:hAnsi="Times New Roman" w:cs="Times New Roman"/>
        </w:rPr>
        <w:t xml:space="preserve"> 108 (2019). </w:t>
      </w:r>
    </w:p>
  </w:footnote>
  <w:footnote w:id="17">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18">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2.</w:t>
      </w:r>
    </w:p>
  </w:footnote>
  <w:footnote w:id="19">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C. Mwalimu, </w:t>
      </w:r>
      <w:r w:rsidRPr="00822EE1">
        <w:rPr>
          <w:rFonts w:ascii="Times New Roman" w:hAnsi="Times New Roman" w:cs="Times New Roman"/>
          <w:i/>
          <w:iCs/>
        </w:rPr>
        <w:t>The Nigerian Legal System,</w:t>
      </w:r>
      <w:r w:rsidRPr="00822EE1">
        <w:rPr>
          <w:rFonts w:ascii="Times New Roman" w:hAnsi="Times New Roman" w:cs="Times New Roman"/>
        </w:rPr>
        <w:t xml:space="preserve"> 1-39 (Peter Lang: New York/Washington, D.C./Baltimore/Bern Frankfurt am Main/ Berlin/Brussels/Vienna/Oxford, Vol. 1, 2002).</w:t>
      </w:r>
    </w:p>
  </w:footnote>
  <w:footnote w:id="20">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21">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22">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See the content of the Constitution of the Federal Republic of Nigeria, 1999 As Amended for general reflection.</w:t>
      </w:r>
    </w:p>
  </w:footnote>
  <w:footnote w:id="23">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J.N.D. Anderson, “Colonial Law in Africa: The Conflict between English, Islamic and Customary Law” 35(4) </w:t>
      </w:r>
      <w:r w:rsidRPr="00822EE1">
        <w:rPr>
          <w:rFonts w:ascii="Times New Roman" w:hAnsi="Times New Roman" w:cs="Times New Roman"/>
          <w:i/>
          <w:iCs/>
        </w:rPr>
        <w:t>Indiana Law Journal</w:t>
      </w:r>
      <w:r w:rsidRPr="00822EE1">
        <w:rPr>
          <w:rFonts w:ascii="Times New Roman" w:hAnsi="Times New Roman" w:cs="Times New Roman"/>
        </w:rPr>
        <w:t xml:space="preserve"> 433-442 (1960).</w:t>
      </w:r>
    </w:p>
  </w:footnote>
  <w:footnote w:id="24">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B.D. Awosusi, “Appraisal of the Policies, and Laws for the Development of Corporate Business in Nigeria” in Prof. E.T. Yebisi, </w:t>
      </w:r>
      <w:r w:rsidRPr="00822EE1">
        <w:rPr>
          <w:rFonts w:ascii="Times New Roman" w:hAnsi="Times New Roman" w:cs="Times New Roman"/>
          <w:i/>
          <w:iCs/>
        </w:rPr>
        <w:t>et al</w:t>
      </w:r>
      <w:r w:rsidRPr="00822EE1">
        <w:rPr>
          <w:rFonts w:ascii="Times New Roman" w:hAnsi="Times New Roman" w:cs="Times New Roman"/>
        </w:rPr>
        <w:t xml:space="preserve">, (eds.) </w:t>
      </w:r>
      <w:r w:rsidRPr="00822EE1">
        <w:rPr>
          <w:rFonts w:ascii="Times New Roman" w:hAnsi="Times New Roman" w:cs="Times New Roman"/>
          <w:i/>
          <w:iCs/>
        </w:rPr>
        <w:t>Law, Policy and Development Review</w:t>
      </w:r>
      <w:r w:rsidRPr="00822EE1">
        <w:rPr>
          <w:rFonts w:ascii="Times New Roman" w:hAnsi="Times New Roman" w:cs="Times New Roman"/>
        </w:rPr>
        <w:t xml:space="preserve">, 201-203 (EKSU Printing Press, Ado-Ekiti, 2020). </w:t>
      </w:r>
    </w:p>
  </w:footnote>
  <w:footnote w:id="25">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Namely Parts A-G as against Parts A-C in the old Companies and Allied Matters Act (CAMA).</w:t>
      </w:r>
    </w:p>
  </w:footnote>
  <w:footnote w:id="26">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2 at 102.</w:t>
      </w:r>
    </w:p>
  </w:footnote>
  <w:footnote w:id="27">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A. Zubair,</w:t>
      </w:r>
      <w:r w:rsidRPr="00822EE1">
        <w:rPr>
          <w:rFonts w:ascii="Times New Roman" w:hAnsi="Times New Roman" w:cs="Times New Roman"/>
          <w:i/>
          <w:iCs/>
        </w:rPr>
        <w:t xml:space="preserve"> Al-Masadir al-Arba’atu Fi Tashri’i al-Islamiyyah - The Major Sources of Islamic Law</w:t>
      </w:r>
      <w:r w:rsidRPr="00822EE1">
        <w:rPr>
          <w:rFonts w:ascii="Times New Roman" w:hAnsi="Times New Roman" w:cs="Times New Roman"/>
        </w:rPr>
        <w:t xml:space="preserve"> 1-2 (Al-Madinah Heritage Publications, Lagos, 2005).</w:t>
      </w:r>
    </w:p>
  </w:footnote>
  <w:footnote w:id="28">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A.A. Muhammed-Mikaaeel, “Emergence of Usulul Fiqh under Shari’ah: From Developmental to Standardization Stage” 18 </w:t>
      </w:r>
      <w:r w:rsidRPr="00822EE1">
        <w:rPr>
          <w:rFonts w:ascii="Times New Roman" w:hAnsi="Times New Roman" w:cs="Times New Roman"/>
          <w:i/>
          <w:iCs/>
        </w:rPr>
        <w:t>Maiduguri Law Journal (MLJ)</w:t>
      </w:r>
      <w:r w:rsidRPr="00822EE1">
        <w:rPr>
          <w:rFonts w:ascii="Times New Roman" w:hAnsi="Times New Roman" w:cs="Times New Roman"/>
        </w:rPr>
        <w:t xml:space="preserve"> 404-408 (2020). </w:t>
      </w:r>
    </w:p>
  </w:footnote>
  <w:footnote w:id="29">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r w:rsidRPr="00822EE1">
        <w:rPr>
          <w:rFonts w:ascii="Times New Roman" w:hAnsi="Times New Roman" w:cs="Times New Roman"/>
        </w:rPr>
        <w:t xml:space="preserve">, pp. 408-413 </w:t>
      </w:r>
    </w:p>
  </w:footnote>
  <w:footnote w:id="30">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Companies and Allied Matters Act, 2020 replaces that of 1990 that was long due for amendment. However, it is to be noted that the implication of corporate personality in the 1990 Act is not different from the 2020 Act except the changes in section from 37 to 42.</w:t>
      </w:r>
    </w:p>
  </w:footnote>
  <w:footnote w:id="31">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7. See also, supra note 4.</w:t>
      </w:r>
    </w:p>
  </w:footnote>
  <w:footnote w:id="32">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7. See also, supra note 9.</w:t>
      </w:r>
    </w:p>
  </w:footnote>
  <w:footnote w:id="33">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34">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35">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19.</w:t>
      </w:r>
    </w:p>
  </w:footnote>
  <w:footnote w:id="36">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4.</w:t>
      </w:r>
    </w:p>
  </w:footnote>
  <w:footnote w:id="37">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(1897) 22 AC.</w:t>
      </w:r>
    </w:p>
  </w:footnote>
  <w:footnote w:id="38">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(1978) 11-12, 31 SC.</w:t>
      </w:r>
    </w:p>
  </w:footnote>
  <w:footnote w:id="39">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(2000) 2 NWLR (Pt. 645) 495 at 510 &amp; 517</w:t>
      </w:r>
    </w:p>
  </w:footnote>
  <w:footnote w:id="40">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(2000) 2 (Pt. 643) 19 NWLR.</w:t>
      </w:r>
    </w:p>
  </w:footnote>
  <w:footnote w:id="41">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This refers to the legal principle upon which the decision in a specific case is founded. See generally, H.K. Lucke, “Ratio Decidendi: Adjudicative Rational and Source of Law” 1(1) </w:t>
      </w:r>
      <w:r w:rsidRPr="00822EE1">
        <w:rPr>
          <w:rFonts w:ascii="Times New Roman" w:hAnsi="Times New Roman" w:cs="Times New Roman"/>
          <w:i/>
          <w:iCs/>
        </w:rPr>
        <w:t>Bond Law Review</w:t>
      </w:r>
      <w:r w:rsidRPr="00822EE1">
        <w:rPr>
          <w:rFonts w:ascii="Times New Roman" w:hAnsi="Times New Roman" w:cs="Times New Roman"/>
        </w:rPr>
        <w:t xml:space="preserve"> 36-51 (1989).</w:t>
      </w:r>
    </w:p>
  </w:footnote>
  <w:footnote w:id="42">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(1978) 1(146) at 153 NLR. 146.</w:t>
      </w:r>
    </w:p>
  </w:footnote>
  <w:footnote w:id="43">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7, s. 43(1).</w:t>
      </w:r>
    </w:p>
  </w:footnote>
  <w:footnote w:id="44">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w:t>
      </w:r>
      <w:r w:rsidRPr="00822EE1">
        <w:rPr>
          <w:rFonts w:ascii="Times New Roman" w:hAnsi="Times New Roman" w:cs="Times New Roman"/>
          <w:i/>
        </w:rPr>
        <w:t>Hyacinth Orji v Ezeani Anyaso</w:t>
      </w:r>
      <w:r w:rsidRPr="00822EE1">
        <w:rPr>
          <w:rFonts w:ascii="Times New Roman" w:hAnsi="Times New Roman" w:cs="Times New Roman"/>
        </w:rPr>
        <w:t xml:space="preserve"> (2000) 2 (Pt. 643) 19 NWLR.</w:t>
      </w:r>
    </w:p>
  </w:footnote>
  <w:footnote w:id="45">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However, for record purpose, it is safer that the contract entered upon on behalf of corporation should be in writing. See Supra note 2 at 104.</w:t>
      </w:r>
    </w:p>
  </w:footnote>
  <w:footnote w:id="46">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47">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i.e. the contract must be for lawful purposes recognized by law. See generally, Y.K. Yonjan, “An Analysis on Major Elements of a valid Contract under Muluki Civil Code, 2074” 1-13 available at </w:t>
      </w:r>
      <w:hyperlink r:id="rId3" w:history="1">
        <w:r w:rsidRPr="00822EE1">
          <w:rPr>
            <w:rStyle w:val="Hyperlink"/>
            <w:rFonts w:ascii="Times New Roman" w:hAnsi="Times New Roman" w:cs="Times New Roman"/>
          </w:rPr>
          <w:t>https://papers/ssrn.com/sol3/papers.cfm?abstract_id+3437233</w:t>
        </w:r>
      </w:hyperlink>
      <w:r w:rsidRPr="00822EE1">
        <w:rPr>
          <w:rFonts w:ascii="Times New Roman" w:hAnsi="Times New Roman" w:cs="Times New Roman"/>
        </w:rPr>
        <w:t xml:space="preserve"> (last visited on 27 November 2020).</w:t>
      </w:r>
    </w:p>
  </w:footnote>
  <w:footnote w:id="48">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7.</w:t>
      </w:r>
    </w:p>
  </w:footnote>
  <w:footnote w:id="49">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w:t>
      </w:r>
      <w:r w:rsidRPr="00822EE1">
        <w:rPr>
          <w:rFonts w:ascii="Times New Roman" w:hAnsi="Times New Roman" w:cs="Times New Roman"/>
          <w:i/>
        </w:rPr>
        <w:t>Ibid</w:t>
      </w:r>
      <w:r w:rsidRPr="00822EE1">
        <w:rPr>
          <w:rFonts w:ascii="Times New Roman" w:hAnsi="Times New Roman" w:cs="Times New Roman"/>
        </w:rPr>
        <w:t xml:space="preserve">, s. 43(1). </w:t>
      </w:r>
    </w:p>
  </w:footnote>
  <w:footnote w:id="50">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w:t>
      </w:r>
      <w:r w:rsidRPr="00822EE1">
        <w:rPr>
          <w:rFonts w:ascii="Times New Roman" w:hAnsi="Times New Roman" w:cs="Times New Roman"/>
          <w:i/>
        </w:rPr>
        <w:t xml:space="preserve">Ibid, </w:t>
      </w:r>
      <w:r w:rsidRPr="00822EE1">
        <w:rPr>
          <w:rFonts w:ascii="Times New Roman" w:hAnsi="Times New Roman" w:cs="Times New Roman"/>
        </w:rPr>
        <w:t>s. 42.</w:t>
      </w:r>
    </w:p>
  </w:footnote>
  <w:footnote w:id="51">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2 at 103.</w:t>
      </w:r>
    </w:p>
  </w:footnote>
  <w:footnote w:id="52">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53">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i.e. as long as the earth and the mankind living thereon exist under normal circumstances.</w:t>
      </w:r>
    </w:p>
  </w:footnote>
  <w:footnote w:id="54">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7.</w:t>
      </w:r>
    </w:p>
  </w:footnote>
  <w:footnote w:id="55">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7, ss. 341-870.</w:t>
      </w:r>
    </w:p>
  </w:footnote>
  <w:footnote w:id="56">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7.</w:t>
      </w:r>
    </w:p>
  </w:footnote>
  <w:footnote w:id="57">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7, s. 43(2). </w:t>
      </w:r>
    </w:p>
  </w:footnote>
  <w:footnote w:id="58">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w:t>
      </w:r>
      <w:r w:rsidRPr="00822EE1">
        <w:rPr>
          <w:rFonts w:ascii="Times New Roman" w:hAnsi="Times New Roman" w:cs="Times New Roman"/>
          <w:i/>
        </w:rPr>
        <w:t>Hyacinth Orji v Ezeani Anyaso</w:t>
      </w:r>
      <w:r w:rsidRPr="00822EE1">
        <w:rPr>
          <w:rFonts w:ascii="Times New Roman" w:hAnsi="Times New Roman" w:cs="Times New Roman"/>
        </w:rPr>
        <w:t xml:space="preserve"> (2000) 2 (Pt. 643) 19 NWLR. </w:t>
      </w:r>
    </w:p>
  </w:footnote>
  <w:footnote w:id="59">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7. </w:t>
      </w:r>
    </w:p>
  </w:footnote>
  <w:footnote w:id="60">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P.I. Blumberg, “The Corporate Personality in American Law: A Summary Review” 38(49)</w:t>
      </w:r>
      <w:r w:rsidRPr="00822EE1">
        <w:rPr>
          <w:rFonts w:ascii="Times New Roman" w:hAnsi="Times New Roman" w:cs="Times New Roman"/>
          <w:i/>
          <w:iCs/>
        </w:rPr>
        <w:t xml:space="preserve"> The American Journal of Comparative Law</w:t>
      </w:r>
      <w:r w:rsidRPr="00822EE1">
        <w:rPr>
          <w:rFonts w:ascii="Times New Roman" w:hAnsi="Times New Roman" w:cs="Times New Roman"/>
          <w:iCs/>
        </w:rPr>
        <w:t xml:space="preserve"> 49-69 (</w:t>
      </w:r>
      <w:r w:rsidRPr="00822EE1">
        <w:rPr>
          <w:rFonts w:ascii="Times New Roman" w:hAnsi="Times New Roman" w:cs="Times New Roman"/>
        </w:rPr>
        <w:t xml:space="preserve">1990). </w:t>
      </w:r>
    </w:p>
  </w:footnote>
  <w:footnote w:id="61">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62">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7.</w:t>
      </w:r>
    </w:p>
  </w:footnote>
  <w:footnote w:id="63">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16 at 112-113. See also, supra note 2 at 107-119.</w:t>
      </w:r>
    </w:p>
  </w:footnote>
  <w:footnote w:id="64">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65">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Z.A. Abd Ghadas, and H. Abd Aziz, “Shariah Compliant Companies: An Appraisal of the Legal Theories of Body Corporate for Shariah Compliant Companies” 1 </w:t>
      </w:r>
      <w:r w:rsidRPr="00822EE1">
        <w:rPr>
          <w:rFonts w:ascii="Times New Roman" w:hAnsi="Times New Roman" w:cs="Times New Roman"/>
          <w:i/>
          <w:iCs/>
        </w:rPr>
        <w:t>Herald NAMSCA</w:t>
      </w:r>
      <w:r w:rsidRPr="00822EE1">
        <w:rPr>
          <w:rFonts w:ascii="Times New Roman" w:hAnsi="Times New Roman" w:cs="Times New Roman"/>
        </w:rPr>
        <w:t xml:space="preserve"> 913-914 (2018).</w:t>
      </w:r>
    </w:p>
  </w:footnote>
  <w:footnote w:id="66">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r w:rsidRPr="00822EE1">
        <w:rPr>
          <w:rFonts w:ascii="Times New Roman" w:hAnsi="Times New Roman" w:cs="Times New Roman"/>
        </w:rPr>
        <w:t xml:space="preserve"> at 915-916 </w:t>
      </w:r>
    </w:p>
  </w:footnote>
  <w:footnote w:id="67">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Drawing inference from the provision of Qur’an 51:56 which reads: “We have not created </w:t>
      </w:r>
      <w:r w:rsidRPr="00822EE1">
        <w:rPr>
          <w:rFonts w:ascii="Times New Roman" w:hAnsi="Times New Roman" w:cs="Times New Roman"/>
          <w:i/>
        </w:rPr>
        <w:t>Jinns</w:t>
      </w:r>
      <w:r w:rsidRPr="00822EE1">
        <w:rPr>
          <w:rFonts w:ascii="Times New Roman" w:hAnsi="Times New Roman" w:cs="Times New Roman"/>
        </w:rPr>
        <w:t xml:space="preserve"> and mankind except that they should worship me.”</w:t>
      </w:r>
    </w:p>
  </w:footnote>
  <w:footnote w:id="68">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65 at 914-915. Z.A.</w:t>
      </w:r>
    </w:p>
  </w:footnote>
  <w:footnote w:id="69">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70">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r w:rsidRPr="00822EE1">
        <w:rPr>
          <w:rFonts w:ascii="Times New Roman" w:hAnsi="Times New Roman" w:cs="Times New Roman"/>
        </w:rPr>
        <w:t xml:space="preserve"> at 915 </w:t>
      </w:r>
    </w:p>
  </w:footnote>
  <w:footnote w:id="71">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Z.A. Abd Gahdas, and H. Abd Aziz, “Legal Framework of Shari’ah Corporations in Malaysia: Special reference to Waqf Corporation” 13(3) </w:t>
      </w:r>
      <w:r w:rsidRPr="00822EE1">
        <w:rPr>
          <w:rFonts w:ascii="Times New Roman" w:hAnsi="Times New Roman" w:cs="Times New Roman"/>
          <w:i/>
          <w:iCs/>
        </w:rPr>
        <w:t>Journal of Modern Accounting and Auditing</w:t>
      </w:r>
      <w:r w:rsidRPr="00822EE1">
        <w:rPr>
          <w:rFonts w:ascii="Times New Roman" w:hAnsi="Times New Roman" w:cs="Times New Roman"/>
        </w:rPr>
        <w:t>, 123-124 (2017).</w:t>
      </w:r>
    </w:p>
  </w:footnote>
  <w:footnote w:id="72">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r w:rsidRPr="00822EE1">
        <w:rPr>
          <w:rFonts w:ascii="Times New Roman" w:hAnsi="Times New Roman" w:cs="Times New Roman"/>
        </w:rPr>
        <w:t xml:space="preserve"> at 125 </w:t>
      </w:r>
    </w:p>
  </w:footnote>
  <w:footnote w:id="73">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T.A.H. Mohamad, and A. Trakic, “Critical Appraisal of the Companies Obligation to Pay Zakat in the Malaysian Context” 10 </w:t>
      </w:r>
      <w:r w:rsidRPr="00822EE1">
        <w:rPr>
          <w:rFonts w:ascii="Times New Roman" w:hAnsi="Times New Roman" w:cs="Times New Roman"/>
          <w:i/>
          <w:iCs/>
        </w:rPr>
        <w:t xml:space="preserve">International Company and Commercial Law Review </w:t>
      </w:r>
      <w:r w:rsidRPr="00822EE1">
        <w:rPr>
          <w:rFonts w:ascii="Times New Roman" w:hAnsi="Times New Roman" w:cs="Times New Roman"/>
        </w:rPr>
        <w:t>375-381 (2013).</w:t>
      </w:r>
    </w:p>
  </w:footnote>
  <w:footnote w:id="74">
    <w:p w:rsidR="00FD6A1D" w:rsidRPr="00822EE1" w:rsidRDefault="00FD6A1D" w:rsidP="00FD6A1D">
      <w:pPr>
        <w:pStyle w:val="FootnoteText"/>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w:t>
      </w:r>
      <w:r w:rsidRPr="00822EE1">
        <w:rPr>
          <w:rFonts w:ascii="Times New Roman" w:hAnsi="Times New Roman" w:cs="Times New Roman"/>
          <w:i/>
        </w:rPr>
        <w:t>Ibid</w:t>
      </w:r>
      <w:r w:rsidRPr="00822EE1">
        <w:rPr>
          <w:rFonts w:ascii="Times New Roman" w:hAnsi="Times New Roman" w:cs="Times New Roman"/>
        </w:rPr>
        <w:t xml:space="preserve"> </w:t>
      </w:r>
    </w:p>
  </w:footnote>
  <w:footnote w:id="75">
    <w:p w:rsidR="00FD6A1D" w:rsidRPr="00822EE1" w:rsidRDefault="00FD6A1D" w:rsidP="00FD6A1D">
      <w:pPr>
        <w:pStyle w:val="FootnoteText"/>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J.C.K. Lok, “Corporate Personality from the eyes of Shari’ah” </w:t>
      </w:r>
      <w:r w:rsidRPr="00822EE1">
        <w:rPr>
          <w:rFonts w:ascii="Times New Roman" w:hAnsi="Times New Roman" w:cs="Times New Roman"/>
          <w:i/>
        </w:rPr>
        <w:t>Thomas Philips-Advocates and Solicitors</w:t>
      </w:r>
      <w:r w:rsidRPr="00822EE1">
        <w:rPr>
          <w:rFonts w:ascii="Times New Roman" w:hAnsi="Times New Roman" w:cs="Times New Roman"/>
        </w:rPr>
        <w:t xml:space="preserve"> available at </w:t>
      </w:r>
      <w:hyperlink r:id="rId4" w:history="1">
        <w:r w:rsidRPr="00822EE1">
          <w:rPr>
            <w:rStyle w:val="Hyperlink"/>
            <w:rFonts w:ascii="Times New Roman" w:hAnsi="Times New Roman" w:cs="Times New Roman"/>
          </w:rPr>
          <w:t>https://www.thomasphilip.com,my/articles/corporate-personality-from-the-eyes-of-shariah/</w:t>
        </w:r>
      </w:hyperlink>
      <w:r w:rsidRPr="00822EE1">
        <w:rPr>
          <w:rFonts w:ascii="Times New Roman" w:hAnsi="Times New Roman" w:cs="Times New Roman"/>
        </w:rPr>
        <w:t xml:space="preserve"> (last visited on 25 January, 2022).</w:t>
      </w:r>
    </w:p>
  </w:footnote>
  <w:footnote w:id="76">
    <w:p w:rsidR="00FD6A1D" w:rsidRPr="00822EE1" w:rsidRDefault="00FD6A1D" w:rsidP="00FD6A1D">
      <w:pPr>
        <w:pStyle w:val="FootnoteText"/>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i.e. zakat could be levied on it.</w:t>
      </w:r>
    </w:p>
  </w:footnote>
  <w:footnote w:id="77">
    <w:p w:rsidR="00FD6A1D" w:rsidRPr="00822EE1" w:rsidRDefault="00FD6A1D" w:rsidP="00FD6A1D">
      <w:pPr>
        <w:pStyle w:val="FootnoteText"/>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w:t>
      </w:r>
      <w:r w:rsidRPr="00822EE1">
        <w:rPr>
          <w:rFonts w:ascii="Times New Roman" w:hAnsi="Times New Roman" w:cs="Times New Roman"/>
          <w:i/>
        </w:rPr>
        <w:t>Ibid</w:t>
      </w:r>
      <w:r w:rsidRPr="00822EE1">
        <w:rPr>
          <w:rFonts w:ascii="Times New Roman" w:hAnsi="Times New Roman" w:cs="Times New Roman"/>
        </w:rPr>
        <w:t xml:space="preserve"> </w:t>
      </w:r>
    </w:p>
  </w:footnote>
  <w:footnote w:id="78">
    <w:p w:rsidR="00FD6A1D" w:rsidRPr="00822EE1" w:rsidRDefault="00FD6A1D" w:rsidP="00FD6A1D">
      <w:pPr>
        <w:pStyle w:val="FootnoteText"/>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“Jaiz Bank Official Website” available at &lt;htpps://jaizbankplc.com/&gt; (last visited on 25 January, 2022) </w:t>
      </w:r>
    </w:p>
  </w:footnote>
  <w:footnote w:id="79">
    <w:p w:rsidR="00FD6A1D" w:rsidRPr="00822EE1" w:rsidRDefault="00FD6A1D" w:rsidP="00FD6A1D">
      <w:pPr>
        <w:pStyle w:val="FootnoteText"/>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Malaysia International Islamic Finance Centre, “Malaysia World’s Islamic Finance Market Place” available at </w:t>
      </w:r>
      <w:hyperlink r:id="rId5" w:history="1">
        <w:r w:rsidRPr="00822EE1">
          <w:rPr>
            <w:rStyle w:val="Hyperlink"/>
            <w:rFonts w:ascii="Times New Roman" w:hAnsi="Times New Roman" w:cs="Times New Roman"/>
          </w:rPr>
          <w:t>http://www.mfc,com/</w:t>
        </w:r>
      </w:hyperlink>
      <w:r w:rsidRPr="00822EE1">
        <w:rPr>
          <w:rFonts w:ascii="Times New Roman" w:hAnsi="Times New Roman" w:cs="Times New Roman"/>
        </w:rPr>
        <w:t xml:space="preserve"> (last visited on 25 January, 2022). </w:t>
      </w:r>
    </w:p>
  </w:footnote>
  <w:footnote w:id="80">
    <w:p w:rsidR="00FD6A1D" w:rsidRPr="00822EE1" w:rsidRDefault="00FD6A1D" w:rsidP="00FD6A1D">
      <w:pPr>
        <w:pStyle w:val="FootnoteText"/>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Global banking and Finance, “List of Islamic Banks in Malaysia” available at </w:t>
      </w:r>
      <w:hyperlink w:history="1">
        <w:r w:rsidRPr="00822EE1">
          <w:rPr>
            <w:rStyle w:val="Hyperlink"/>
            <w:rFonts w:ascii="Times New Roman" w:hAnsi="Times New Roman" w:cs="Times New Roman"/>
          </w:rPr>
          <w:t>https://www.globalbankand finace.com/list-of-islamic-banks-in-malaysia/</w:t>
        </w:r>
      </w:hyperlink>
      <w:r w:rsidRPr="00822EE1">
        <w:rPr>
          <w:rFonts w:ascii="Times New Roman" w:hAnsi="Times New Roman" w:cs="Times New Roman"/>
        </w:rPr>
        <w:t xml:space="preserve"> (last visited on 25 January, 2022) </w:t>
      </w:r>
    </w:p>
  </w:footnote>
  <w:footnote w:id="81">
    <w:p w:rsidR="00FD6A1D" w:rsidRDefault="00FD6A1D" w:rsidP="00FD6A1D">
      <w:pPr>
        <w:pStyle w:val="FootnoteText"/>
      </w:pPr>
      <w:r>
        <w:rPr>
          <w:rStyle w:val="FootnoteReference"/>
        </w:rPr>
        <w:footnoteRef/>
      </w:r>
      <w:r>
        <w:t xml:space="preserve"> The Constitution of the Federal Republic of Nigeria, 1999, As Amended, s. 38. </w:t>
      </w:r>
    </w:p>
  </w:footnote>
  <w:footnote w:id="82">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Qur’an 41:46</w:t>
      </w:r>
    </w:p>
  </w:footnote>
  <w:footnote w:id="83">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Qur’an 35:18</w:t>
      </w:r>
    </w:p>
  </w:footnote>
  <w:footnote w:id="84">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Qur’an 2:286</w:t>
      </w:r>
    </w:p>
  </w:footnote>
  <w:footnote w:id="85">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Qur’an 78:38</w:t>
      </w:r>
    </w:p>
  </w:footnote>
  <w:footnote w:id="86">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Qur’an 99:7-8</w:t>
      </w:r>
    </w:p>
  </w:footnote>
  <w:footnote w:id="87">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Shuhari, M.H. and Hamat M.F. “Concept of Al-Amanah (Trustworthiness and Al-Mas’uliyyah Responsibility) for Human’s Character from Ethical Islamic Perspective” 22(1) </w:t>
      </w:r>
      <w:r w:rsidRPr="00822EE1">
        <w:rPr>
          <w:rFonts w:ascii="Times New Roman" w:hAnsi="Times New Roman" w:cs="Times New Roman"/>
          <w:i/>
        </w:rPr>
        <w:t>Journal of Legal, Ethical and Regulatory Issues</w:t>
      </w:r>
      <w:r w:rsidRPr="00822EE1">
        <w:rPr>
          <w:rFonts w:ascii="Times New Roman" w:hAnsi="Times New Roman" w:cs="Times New Roman"/>
        </w:rPr>
        <w:t xml:space="preserve"> (2019), available at </w:t>
      </w:r>
      <w:hyperlink r:id="rId6" w:history="1">
        <w:r w:rsidRPr="00822EE1">
          <w:rPr>
            <w:rStyle w:val="Hyperlink"/>
            <w:rFonts w:ascii="Times New Roman" w:hAnsi="Times New Roman" w:cs="Times New Roman"/>
          </w:rPr>
          <w:t>https://www.abacademies.org/articles/concept-of-alamanah-trustworthiness-and-almasuliyyah-responsibility-for-humans-character-from-ethical-islamic-perspective-7861.html</w:t>
        </w:r>
      </w:hyperlink>
      <w:r w:rsidRPr="00822EE1">
        <w:rPr>
          <w:rFonts w:ascii="Times New Roman" w:hAnsi="Times New Roman" w:cs="Times New Roman"/>
        </w:rPr>
        <w:t xml:space="preserve"> (last visited on 24 April, 2021). </w:t>
      </w:r>
    </w:p>
  </w:footnote>
  <w:footnote w:id="88">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89">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Qur’an 36:65</w:t>
      </w:r>
    </w:p>
  </w:footnote>
  <w:footnote w:id="90">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A.A. Elias, “Daily Hadith Online” available at </w:t>
      </w:r>
      <w:hyperlink r:id="rId7" w:history="1">
        <w:r w:rsidRPr="00822EE1">
          <w:rPr>
            <w:rStyle w:val="Hyperlink"/>
            <w:rFonts w:ascii="Times New Roman" w:hAnsi="Times New Roman" w:cs="Times New Roman"/>
          </w:rPr>
          <w:t>https://abuaminaelias.com/dailyhadithonline/2011/07/03/shepherd-his-or-her-flock/</w:t>
        </w:r>
      </w:hyperlink>
      <w:r w:rsidRPr="00822EE1">
        <w:rPr>
          <w:rFonts w:ascii="Times New Roman" w:hAnsi="Times New Roman" w:cs="Times New Roman"/>
        </w:rPr>
        <w:t xml:space="preserve"> (last visited on 29 November, 2020).</w:t>
      </w:r>
    </w:p>
  </w:footnote>
  <w:footnote w:id="91">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A.A. Elias, “Daily Hadith Online” available at </w:t>
      </w:r>
      <w:hyperlink r:id="rId8" w:history="1">
        <w:r w:rsidRPr="00822EE1">
          <w:rPr>
            <w:rStyle w:val="Hyperlink"/>
            <w:rFonts w:ascii="Times New Roman" w:hAnsi="Times New Roman" w:cs="Times New Roman"/>
          </w:rPr>
          <w:t>https://abuaminaelias.com/dailyhadithonline/2012/02/17/akhlaq-fear-allah-wherever/</w:t>
        </w:r>
      </w:hyperlink>
      <w:r w:rsidRPr="00822EE1">
        <w:rPr>
          <w:rFonts w:ascii="Times New Roman" w:hAnsi="Times New Roman" w:cs="Times New Roman"/>
        </w:rPr>
        <w:t xml:space="preserve"> (last visited on 29 November, 2020).</w:t>
      </w:r>
    </w:p>
  </w:footnote>
  <w:footnote w:id="92">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19 at 1-39.</w:t>
      </w:r>
    </w:p>
  </w:footnote>
  <w:footnote w:id="93">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M.I. Gwangndi, “The Socio-Legal Context of the Nigerian Legal System and the Shari’ah Controversy: An Analysis of its Impacts on Some Aspects of Nigerian Women’s Rights” 45 </w:t>
      </w:r>
      <w:r w:rsidRPr="00822EE1">
        <w:rPr>
          <w:rFonts w:ascii="Times New Roman" w:hAnsi="Times New Roman" w:cs="Times New Roman"/>
          <w:i/>
        </w:rPr>
        <w:t>Journal of Law, Policy and Globalization</w:t>
      </w:r>
      <w:r w:rsidRPr="00822EE1">
        <w:rPr>
          <w:rFonts w:ascii="Times New Roman" w:hAnsi="Times New Roman" w:cs="Times New Roman"/>
        </w:rPr>
        <w:t xml:space="preserve"> 60-66 (2016).</w:t>
      </w:r>
    </w:p>
  </w:footnote>
  <w:footnote w:id="94">
    <w:p w:rsidR="00FD6A1D" w:rsidRPr="00822EE1" w:rsidRDefault="00FD6A1D" w:rsidP="00FD6A1D">
      <w:pPr>
        <w:spacing w:after="0" w:line="360" w:lineRule="auto"/>
        <w:ind w:right="2160"/>
        <w:jc w:val="both"/>
        <w:rPr>
          <w:rFonts w:ascii="Times New Roman" w:hAnsi="Times New Roman"/>
          <w:sz w:val="20"/>
          <w:szCs w:val="20"/>
        </w:rPr>
      </w:pPr>
      <w:r w:rsidRPr="00822EE1">
        <w:rPr>
          <w:rStyle w:val="FootnoteReference"/>
          <w:rFonts w:ascii="Times New Roman" w:hAnsi="Times New Roman"/>
          <w:sz w:val="20"/>
          <w:szCs w:val="20"/>
        </w:rPr>
        <w:footnoteRef/>
      </w:r>
      <w:r w:rsidRPr="00822EE1">
        <w:rPr>
          <w:rFonts w:ascii="Times New Roman" w:hAnsi="Times New Roman"/>
          <w:sz w:val="20"/>
          <w:szCs w:val="20"/>
        </w:rPr>
        <w:t xml:space="preserve"> Qur’an 5:44 and Qur’an 33:36 </w:t>
      </w:r>
    </w:p>
  </w:footnote>
  <w:footnote w:id="95">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Qur’an 2:208</w:t>
      </w:r>
    </w:p>
  </w:footnote>
  <w:footnote w:id="96">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The Constitution of the Federal Republic of Nigeria, 1999, As Amended, s. 277.</w:t>
      </w:r>
    </w:p>
  </w:footnote>
  <w:footnote w:id="97">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w:t>
      </w:r>
      <w:r w:rsidRPr="00822EE1">
        <w:rPr>
          <w:rFonts w:ascii="Times New Roman" w:hAnsi="Times New Roman" w:cs="Times New Roman"/>
          <w:i/>
        </w:rPr>
        <w:t>Ibid</w:t>
      </w:r>
      <w:r w:rsidRPr="00822EE1">
        <w:rPr>
          <w:rFonts w:ascii="Times New Roman" w:hAnsi="Times New Roman" w:cs="Times New Roman"/>
        </w:rPr>
        <w:t>, s. 38.</w:t>
      </w:r>
    </w:p>
  </w:footnote>
  <w:footnote w:id="98">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J. Tyus, “Going Too Far: Extending Shari’a Law in Nigeria from Personal to Public Law” 3 </w:t>
      </w:r>
      <w:r w:rsidRPr="00822EE1">
        <w:rPr>
          <w:rFonts w:ascii="Times New Roman" w:hAnsi="Times New Roman" w:cs="Times New Roman"/>
          <w:i/>
          <w:iCs/>
        </w:rPr>
        <w:t>Washington University Global Studies Law Review</w:t>
      </w:r>
      <w:r w:rsidRPr="00822EE1">
        <w:rPr>
          <w:rFonts w:ascii="Times New Roman" w:hAnsi="Times New Roman" w:cs="Times New Roman"/>
        </w:rPr>
        <w:t xml:space="preserve"> 199-221 (2004).</w:t>
      </w:r>
    </w:p>
  </w:footnote>
  <w:footnote w:id="99">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w:t>
      </w:r>
      <w:r w:rsidRPr="00822EE1">
        <w:rPr>
          <w:rFonts w:ascii="Times New Roman" w:hAnsi="Times New Roman" w:cs="Times New Roman"/>
          <w:i/>
        </w:rPr>
        <w:t xml:space="preserve">Salomon v. Salomon &amp; Co. Ltd </w:t>
      </w:r>
      <w:r w:rsidRPr="00822EE1">
        <w:rPr>
          <w:rFonts w:ascii="Times New Roman" w:hAnsi="Times New Roman" w:cs="Times New Roman"/>
        </w:rPr>
        <w:t>(1897) 22 AC.</w:t>
      </w:r>
    </w:p>
  </w:footnote>
  <w:footnote w:id="100">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See Qur’an 41:46 and Qur’an 35:18</w:t>
      </w:r>
    </w:p>
  </w:footnote>
  <w:footnote w:id="101">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A. Zubair, </w:t>
      </w:r>
      <w:r w:rsidRPr="00822EE1">
        <w:rPr>
          <w:rFonts w:ascii="Times New Roman" w:hAnsi="Times New Roman" w:cs="Times New Roman"/>
          <w:i/>
          <w:iCs/>
        </w:rPr>
        <w:t>An Outline of Islamic Law of Torts</w:t>
      </w:r>
      <w:r w:rsidRPr="00822EE1">
        <w:rPr>
          <w:rFonts w:ascii="Times New Roman" w:hAnsi="Times New Roman" w:cs="Times New Roman"/>
        </w:rPr>
        <w:t xml:space="preserve"> 85-126 (International Islamic Contact, Lagos, 1990).</w:t>
      </w:r>
    </w:p>
  </w:footnote>
  <w:footnote w:id="102">
    <w:p w:rsidR="00FD6A1D" w:rsidRPr="00822EE1" w:rsidRDefault="00FD6A1D" w:rsidP="00FD6A1D">
      <w:pPr>
        <w:pStyle w:val="FootnoteText"/>
        <w:spacing w:line="360" w:lineRule="auto"/>
        <w:jc w:val="both"/>
        <w:rPr>
          <w:rFonts w:ascii="Times New Roman" w:hAnsi="Times New Roman" w:cs="Times New Roman"/>
          <w:b/>
          <w:bCs/>
        </w:rPr>
      </w:pPr>
      <w:r w:rsidRPr="00822EE1">
        <w:rPr>
          <w:rStyle w:val="FootnoteReference"/>
          <w:rFonts w:ascii="Times New Roman" w:hAnsi="Times New Roman" w:cs="Times New Roman"/>
          <w:bCs/>
        </w:rPr>
        <w:footnoteRef/>
      </w:r>
      <w:r w:rsidRPr="00822EE1">
        <w:rPr>
          <w:rFonts w:ascii="Times New Roman" w:hAnsi="Times New Roman" w:cs="Times New Roman"/>
          <w:i/>
          <w:iCs/>
        </w:rPr>
        <w:t>Ibid</w:t>
      </w:r>
    </w:p>
  </w:footnote>
  <w:footnote w:id="103">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i/>
          <w:iCs/>
        </w:rPr>
        <w:t>Ibid</w:t>
      </w:r>
    </w:p>
  </w:footnote>
  <w:footnote w:id="104">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M.A. Khan, “The Islamic Law of Torts and Product Liability: An Analysis” 19(1) </w:t>
      </w:r>
      <w:r w:rsidRPr="00822EE1">
        <w:rPr>
          <w:rFonts w:ascii="Times New Roman" w:hAnsi="Times New Roman" w:cs="Times New Roman"/>
          <w:i/>
          <w:iCs/>
        </w:rPr>
        <w:t xml:space="preserve">Pakistan Journal of Islamic Research </w:t>
      </w:r>
      <w:r w:rsidRPr="00822EE1">
        <w:rPr>
          <w:rFonts w:ascii="Times New Roman" w:hAnsi="Times New Roman" w:cs="Times New Roman"/>
        </w:rPr>
        <w:t>15-35 (2019).</w:t>
      </w:r>
    </w:p>
  </w:footnote>
  <w:footnote w:id="105">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7 s. 868.</w:t>
      </w:r>
    </w:p>
  </w:footnote>
  <w:footnote w:id="106">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Investment and Security Act, 2007, s. 274. </w:t>
      </w:r>
    </w:p>
  </w:footnote>
  <w:footnote w:id="107">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The Shari’ah Courts in Nigeria include Area Courts, Upper Area Courts and Shari’ah Court of Appeals which only heard the matters of Islamic personal law. The issues/disputes arising from corporate activities is still being determined by the federal High Court.</w:t>
      </w:r>
    </w:p>
  </w:footnote>
  <w:footnote w:id="108">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19 at 1-39.</w:t>
      </w:r>
    </w:p>
  </w:footnote>
  <w:footnote w:id="109">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Supra note 65.</w:t>
      </w:r>
    </w:p>
  </w:footnote>
  <w:footnote w:id="110">
    <w:p w:rsidR="00FD6A1D" w:rsidRPr="00822EE1" w:rsidRDefault="00FD6A1D" w:rsidP="00FD6A1D">
      <w:pPr>
        <w:pStyle w:val="FootnoteText"/>
        <w:spacing w:line="360" w:lineRule="auto"/>
        <w:jc w:val="both"/>
        <w:rPr>
          <w:rFonts w:ascii="Times New Roman" w:hAnsi="Times New Roman" w:cs="Times New Roman"/>
        </w:rPr>
      </w:pPr>
      <w:r w:rsidRPr="00822EE1">
        <w:rPr>
          <w:rStyle w:val="FootnoteReference"/>
          <w:rFonts w:ascii="Times New Roman" w:hAnsi="Times New Roman" w:cs="Times New Roman"/>
        </w:rPr>
        <w:footnoteRef/>
      </w:r>
      <w:r w:rsidRPr="00822EE1">
        <w:rPr>
          <w:rFonts w:ascii="Times New Roman" w:hAnsi="Times New Roman" w:cs="Times New Roman"/>
        </w:rPr>
        <w:t xml:space="preserve"> Constitution of the Federal Republic of Nigeria, 1999, As Amended, s. 277. See also, supra note 93 at 199-221.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0BA"/>
    <w:rsid w:val="00016330"/>
    <w:rsid w:val="0002562B"/>
    <w:rsid w:val="00043443"/>
    <w:rsid w:val="000532B3"/>
    <w:rsid w:val="00063089"/>
    <w:rsid w:val="00080519"/>
    <w:rsid w:val="001E2467"/>
    <w:rsid w:val="00212DA0"/>
    <w:rsid w:val="00274B55"/>
    <w:rsid w:val="002C137B"/>
    <w:rsid w:val="002D580E"/>
    <w:rsid w:val="003F1F0D"/>
    <w:rsid w:val="00415535"/>
    <w:rsid w:val="00490F13"/>
    <w:rsid w:val="004D1C30"/>
    <w:rsid w:val="00507802"/>
    <w:rsid w:val="00537F23"/>
    <w:rsid w:val="005D72E7"/>
    <w:rsid w:val="005F77F5"/>
    <w:rsid w:val="00601DBC"/>
    <w:rsid w:val="00626897"/>
    <w:rsid w:val="006B186C"/>
    <w:rsid w:val="006C2B2D"/>
    <w:rsid w:val="0070724D"/>
    <w:rsid w:val="007E7C0E"/>
    <w:rsid w:val="00833603"/>
    <w:rsid w:val="00913F44"/>
    <w:rsid w:val="00917A87"/>
    <w:rsid w:val="00952AB2"/>
    <w:rsid w:val="009F5F18"/>
    <w:rsid w:val="00A126B0"/>
    <w:rsid w:val="00A35177"/>
    <w:rsid w:val="00A55160"/>
    <w:rsid w:val="00AF0D8A"/>
    <w:rsid w:val="00BF3D4F"/>
    <w:rsid w:val="00C71E34"/>
    <w:rsid w:val="00C941C4"/>
    <w:rsid w:val="00D270BA"/>
    <w:rsid w:val="00D60B48"/>
    <w:rsid w:val="00DC41A7"/>
    <w:rsid w:val="00DE572A"/>
    <w:rsid w:val="00EA198E"/>
    <w:rsid w:val="00F16B29"/>
    <w:rsid w:val="00F663C3"/>
    <w:rsid w:val="00F6679E"/>
    <w:rsid w:val="00F850DF"/>
    <w:rsid w:val="00FD6A1D"/>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E66860-F668-4DD7-9092-84CF23F426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70BA"/>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270BA"/>
    <w:pPr>
      <w:spacing w:after="0" w:line="240" w:lineRule="auto"/>
    </w:pPr>
    <w:rPr>
      <w:rFonts w:ascii="Calibri" w:eastAsia="Calibri" w:hAnsi="Calibri" w:cs="Times New Roman"/>
    </w:rPr>
  </w:style>
  <w:style w:type="paragraph" w:styleId="FootnoteText">
    <w:name w:val="footnote text"/>
    <w:basedOn w:val="Normal"/>
    <w:link w:val="FootnoteTextChar"/>
    <w:uiPriority w:val="99"/>
    <w:rsid w:val="00FD6A1D"/>
    <w:pPr>
      <w:spacing w:after="0" w:line="240" w:lineRule="auto"/>
    </w:pPr>
    <w:rPr>
      <w:rFonts w:cs="Arial"/>
      <w:sz w:val="20"/>
      <w:szCs w:val="20"/>
    </w:rPr>
  </w:style>
  <w:style w:type="character" w:customStyle="1" w:styleId="FootnoteTextChar">
    <w:name w:val="Footnote Text Char"/>
    <w:basedOn w:val="DefaultParagraphFont"/>
    <w:link w:val="FootnoteText"/>
    <w:uiPriority w:val="99"/>
    <w:rsid w:val="00FD6A1D"/>
    <w:rPr>
      <w:rFonts w:ascii="Calibri" w:eastAsia="Calibri" w:hAnsi="Calibri" w:cs="Arial"/>
      <w:sz w:val="20"/>
      <w:szCs w:val="20"/>
    </w:rPr>
  </w:style>
  <w:style w:type="character" w:styleId="FootnoteReference">
    <w:name w:val="footnote reference"/>
    <w:basedOn w:val="DefaultParagraphFont"/>
    <w:uiPriority w:val="99"/>
    <w:rsid w:val="00FD6A1D"/>
    <w:rPr>
      <w:vertAlign w:val="superscript"/>
    </w:rPr>
  </w:style>
  <w:style w:type="character" w:styleId="Hyperlink">
    <w:name w:val="Hyperlink"/>
    <w:basedOn w:val="DefaultParagraphFont"/>
    <w:uiPriority w:val="99"/>
    <w:rsid w:val="00FD6A1D"/>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7" Type="http://schemas.openxmlformats.org/officeDocument/2006/relationships/theme" Target="theme/theme1.xml" /><Relationship Id="rId2" Type="http://schemas.openxmlformats.org/officeDocument/2006/relationships/settings" Target="settings.xml" /><Relationship Id="rId1" Type="http://schemas.openxmlformats.org/officeDocument/2006/relationships/styles" Target="styles.xml" /><Relationship Id="rId6" Type="http://schemas.openxmlformats.org/officeDocument/2006/relationships/fontTable" Target="fontTable.xml" /><Relationship Id="rId5" Type="http://schemas.openxmlformats.org/officeDocument/2006/relationships/endnotes" Target="endnotes.xml" /><Relationship Id="rId4" Type="http://schemas.openxmlformats.org/officeDocument/2006/relationships/footnotes" Target="footnotes.xml" /></Relationships>
</file>

<file path=word/_rels/footnotes.xml.rels><?xml version="1.0" encoding="UTF-8" standalone="yes"?>
<Relationships xmlns="http://schemas.openxmlformats.org/package/2006/relationships"><Relationship Id="rId8" Type="http://schemas.openxmlformats.org/officeDocument/2006/relationships/hyperlink" Target="https://abuaminaelias.com/dailyhadithonline/2012/02/17/akhlaq-fear-allah-wherever/" TargetMode="External" /><Relationship Id="rId3" Type="http://schemas.openxmlformats.org/officeDocument/2006/relationships/hyperlink" Target="https://papers/ssrn.com/sol3/papers.cfm?abstract_id+3437233" TargetMode="External" /><Relationship Id="rId7" Type="http://schemas.openxmlformats.org/officeDocument/2006/relationships/hyperlink" Target="https://abuaminaelias.com/dailyhadithonline/2011/07/03/shepherd-his-or-her-flock/" TargetMode="External" /><Relationship Id="rId2" Type="http://schemas.openxmlformats.org/officeDocument/2006/relationships/hyperlink" Target="https://the" TargetMode="External" /><Relationship Id="rId1" Type="http://schemas.openxmlformats.org/officeDocument/2006/relationships/hyperlink" Target="mailto:ahmed.muhammed-mikaaeel@kwasu.edu.ng" TargetMode="External" /><Relationship Id="rId6" Type="http://schemas.openxmlformats.org/officeDocument/2006/relationships/hyperlink" Target="https://www.abacademies.org/articles/concept-of-alamanah-trustworthiness-and-almasuliyyah-responsibility-for-humans-character-from-ethical-islamic-perspective-7861.html" TargetMode="External" /><Relationship Id="rId5" Type="http://schemas.openxmlformats.org/officeDocument/2006/relationships/hyperlink" Target="http://www.mfc,com/" TargetMode="External" /><Relationship Id="rId4" Type="http://schemas.openxmlformats.org/officeDocument/2006/relationships/hyperlink" Target="https://www.thomasphilip.com,my/articles/corporate-personality-from-the-eyes-of-shariah/"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5430</Words>
  <Characters>30956</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kwasu exam</dc:creator>
  <cp:lastModifiedBy>Ahmed Muhammed-Mikaaeel</cp:lastModifiedBy>
  <cp:revision>2</cp:revision>
  <dcterms:created xsi:type="dcterms:W3CDTF">2023-07-06T16:31:00Z</dcterms:created>
  <dcterms:modified xsi:type="dcterms:W3CDTF">2023-07-06T16:31:00Z</dcterms:modified>
</cp:coreProperties>
</file>