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jpg" ContentType="image/jpeg"/>
  <Default Extension="psmdcp" ContentType="application/vnd.openxmlformats-package.core-properties+xml"/>
  <Default Extension="rels" ContentType="application/vnd.openxmlformats-package.relationship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header15.xml" ContentType="application/vnd.openxmlformats-officedocument.wordprocessingml.header+xml"/>
  <Override PartName="/word/footer16.xml" ContentType="application/vnd.openxmlformats-officedocument.wordprocessingml.footer+xml"/>
  <Override PartName="/word/header16.xml" ContentType="application/vnd.openxmlformats-officedocument.wordprocessingml.header+xml"/>
  <Override PartName="/word/footer17.xml" ContentType="application/vnd.openxmlformats-officedocument.wordprocessingml.footer+xml"/>
  <Override PartName="/word/header17.xml" ContentType="application/vnd.openxmlformats-officedocument.wordprocessingml.header+xml"/>
  <Override PartName="/word/footer18.xml" ContentType="application/vnd.openxmlformats-officedocument.wordprocessingml.footer+xml"/>
  <Override PartName="/word/header18.xml" ContentType="application/vnd.openxmlformats-officedocument.wordprocessingml.header+xml"/>
  <Override PartName="/word/footer19.xml" ContentType="application/vnd.openxmlformats-officedocument.wordprocessingml.footer+xml"/>
  <Override PartName="/word/header19.xml" ContentType="application/vnd.openxmlformats-officedocument.wordprocessingml.header+xml"/>
  <Override PartName="/word/footer20.xml" ContentType="application/vnd.openxmlformats-officedocument.wordprocessingml.footer+xml"/>
  <Override PartName="/word/header20.xml" ContentType="application/vnd.openxmlformats-officedocument.wordprocessingml.header+xml"/>
  <Override PartName="/word/footer21.xml" ContentType="application/vnd.openxmlformats-officedocument.wordprocessingml.footer+xml"/>
  <Override PartName="/word/header21.xml" ContentType="application/vnd.openxmlformats-officedocument.wordprocessingml.header+xml"/>
  <Override PartName="/word/footer22.xml" ContentType="application/vnd.openxmlformats-officedocument.wordprocessingml.footer+xml"/>
  <Override PartName="/word/header22.xml" ContentType="application/vnd.openxmlformats-officedocument.wordprocessingml.header+xml"/>
  <Override PartName="/word/footer23.xml" ContentType="application/vnd.openxmlformats-officedocument.wordprocessingml.footer+xml"/>
  <Override PartName="/word/header23.xml" ContentType="application/vnd.openxmlformats-officedocument.wordprocessingml.header+xml"/>
  <Override PartName="/word/footer24.xml" ContentType="application/vnd.openxmlformats-officedocument.wordprocessingml.footer+xml"/>
  <Override PartName="/word/header24.xml" ContentType="application/vnd.openxmlformats-officedocument.wordprocessingml.header+xml"/>
  <Override PartName="/word/footer25.xml" ContentType="application/vnd.openxmlformats-officedocument.wordprocessingml.footer+xml"/>
  <Override PartName="/word/header25.xml" ContentType="application/vnd.openxmlformats-officedocument.wordprocessingml.header+xml"/>
  <Override PartName="/word/footer26.xml" ContentType="application/vnd.openxmlformats-officedocument.wordprocessingml.footer+xml"/>
  <Override PartName="/word/header26.xml" ContentType="application/vnd.openxmlformats-officedocument.wordprocessingml.header+xml"/>
  <Override PartName="/word/footer27.xml" ContentType="application/vnd.openxmlformats-officedocument.wordprocessingml.footer+xml"/>
  <Override PartName="/word/header27.xml" ContentType="application/vnd.openxmlformats-officedocument.wordprocessingml.head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a60fc970ad4e41" /><Relationship Type="http://schemas.openxmlformats.org/package/2006/relationships/metadata/core-properties" Target="/package/services/metadata/core-properties/331bf1d7327941518ee51b0e905cdddf.psmdcp" Id="Rd898bc01c60643ca" /></Relationships>
</file>

<file path=word/document.xml><?xml version="1.0" encoding="utf-8"?>
<w:document xmlns:a="http://schemas.openxmlformats.org/drawingml/2006/main"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jc w:val="center"/>
      </w:pPr>
      <w:r>
        <w:drawing>
          <wp:inline distT="0" distB="0" distL="0" distR="0" wp14:editId="50D07946">
            <wp:extent cx="1689100" cy="1689100"/>
            <wp:effectExtent l="0" t="0" r="0" b="0"/>
            <wp:docPr id="2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2" name="New Bitmap Image.jpg"/>
                    <pic:cNvPicPr/>
                  </pic:nvPicPr>
                  <pic:blipFill>
                    <a:blip r:embed="Rdacb6ab0b19c44bd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1689100" cy="168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0" distR="0" wp14:editId="50D07946">
            <wp:extent cx="6108700" cy="7086600"/>
            <wp:effectExtent l="0" t="0" r="0" b="0"/>
            <wp:docPr id="3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3" name="New Bitmap Image.jpg"/>
                    <pic:cNvPicPr/>
                  </pic:nvPicPr>
                  <pic:blipFill>
                    <a:blip r:embed="R9a56c7d376c04b06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6108700" cy="708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0" distR="0" wp14:editId="50D07946">
            <wp:extent cx="5041900" cy="1409700"/>
            <wp:effectExtent l="0" t="0" r="0" b="0"/>
            <wp:docPr id="4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4" name="New Bitmap Image.jpg"/>
                    <pic:cNvPicPr/>
                  </pic:nvPicPr>
                  <pic:blipFill>
                    <a:blip r:embed="R2de8d6cf20fd46ef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50419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20" w:after="0" w:line="283" w:lineRule="auto"/>
        <w:ind w:firstLine="6460"/>
        <w:jc w:val="right"/>
        <w:rPr>
          <w:sz w:val="34"/>
        </w:rPr>
        <w:sectPr>
          <w:type w:val="continuous"/>
          <w:pgSz w:w="11900" w:h="18140" w:orient="portrait"/>
          <w:pgMar w:top="720" w:right="720" w:bottom="720" w:left="720" w:header="360" w:footer="360"/>
          <w:cols w:equalWidth="true" w:num="1"/>
        </w:sectPr>
      </w:pPr>
      <w:r>
        <w:rPr>
          <w:rFonts w:hint="eastAsia" w:ascii="Calibri" w:hAnsi="Calibri" w:eastAsia="Calibri"/>
          <w:i/>
          <w:color w:val="000000"/>
          <w:sz w:val="34"/>
        </w:rPr>
        <w:t xml:space="preserve">ISSN:0795-7408</w:t>
      </w:r>
    </w:p>
    <w:p>
      <w:pPr>
        <w:spacing w:before="20" w:after="0" w:line="297" w:lineRule="auto"/>
        <w:ind w:firstLine="0"/>
        <w:jc w:val="both"/>
        <w:rPr>
          <w:sz w:val="30"/>
        </w:rPr>
      </w:pPr>
      <w:r>
        <w:rPr>
          <w:rFonts w:hint="eastAsia" w:ascii="Calibri" w:hAnsi="Calibri" w:eastAsia="Calibri"/>
          <w:b/>
          <w:color w:val="000000"/>
          <w:sz w:val="30"/>
        </w:rPr>
        <w:t xml:space="preserve">KWASU BUSINESS AND PRIVATE </w:t>
      </w:r>
      <w:r>
        <w:rPr>
          <w:rFonts w:hint="eastAsia" w:ascii="Calibri" w:hAnsi="Calibri" w:eastAsia="Calibri"/>
          <w:color w:val="000000"/>
          <w:sz w:val="30"/>
        </w:rPr>
        <w:t xml:space="preserve">LAW </w:t>
      </w:r>
      <w:r>
        <w:rPr>
          <w:rFonts w:hint="eastAsia" w:ascii="Calibri" w:hAnsi="Calibri" w:eastAsia="Calibri"/>
          <w:b/>
          <w:color w:val="000000"/>
          <w:sz w:val="30"/>
        </w:rPr>
        <w:t xml:space="preserve">JOURNAL </w:t>
      </w:r>
      <w:r>
        <w:rPr>
          <w:rFonts w:hint="eastAsia" w:ascii="Calibri" w:hAnsi="Calibri" w:eastAsia="Calibri"/>
          <w:color w:val="000000"/>
          <w:sz w:val="30"/>
        </w:rPr>
        <w:t xml:space="preserve">(KWASUBPLJ)</w:t>
      </w:r>
    </w:p>
    <w:p>
      <w:pPr>
        <w:jc w:val="center"/>
      </w:pPr>
      <w:r>
        <w:drawing>
          <wp:inline distT="0" distB="0" distL="0" distR="0" wp14:editId="50D07946">
            <wp:extent cx="2476500" cy="2908300"/>
            <wp:effectExtent l="0" t="0" r="0" b="0"/>
            <wp:docPr id="5" name="NORMAL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5" name="New Bitmap Image.jpg"/>
                    <pic:cNvPicPr/>
                  </pic:nvPicPr>
                  <pic:blipFill>
                    <a:blip r:embed="R96bc2049fdfa415f" cstate="print">
                      <a:extLst>
                        <a:ext uri="{28A0092B-C50C-407E-A947-70E740481C1C}"/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1000" y="1000"/>
                      <a:ext cx="2476500" cy="290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7" w:after="0" w:line="383" w:lineRule="auto"/>
        <w:ind w:firstLine="70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The Green University for Community Development and Entrepreneurship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37" w:after="0" w:line="383" w:lineRule="auto"/>
        <w:ind w:firstLine="110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VOL I,ISSUE I,2024   ISSN:0795-7408.  November 2024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3" w:lineRule="auto"/>
        <w:ind w:firstLine="100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JOURNAL OF DEPARTMENT OF BUSINESS AND PRIVATE LAW</w:t>
      </w:r>
    </w:p>
    <w:p>
      <w:pPr>
        <w:spacing w:before="19" w:after="0" w:line="383" w:lineRule="auto"/>
        <w:ind w:firstLine="1240"/>
        <w:jc w:val="both"/>
        <w:rPr>
          <w:sz w:val="25"/>
        </w:rPr>
        <w:sectPr>
          <w:type w:val="continuous"/>
          <w:pgSz w:w="11900" w:h="18380" w:orient="portrait"/>
          <w:pgMar w:top="2400" w:right="960" w:bottom="2400" w:left="960" w:header="1200" w:footer="1200"/>
          <w:cols w:equalWidth="true" w:num="1"/>
        </w:sectPr>
      </w:pPr>
      <w:r>
        <w:rPr>
          <w:rFonts w:hint="eastAsia" w:ascii="Calibri" w:hAnsi="Calibri" w:eastAsia="Calibri"/>
          <w:b/>
          <w:color w:val="000000"/>
          <w:sz w:val="25"/>
        </w:rPr>
        <w:t xml:space="preserve">FACULTY OF LAW KWARA STATE UNIVERSITY,MALETE</w:t>
      </w:r>
    </w:p>
    <w:p>
      <w:pPr>
        <w:spacing w:before="0" w:after="0" w:line="259" w:lineRule="auto"/>
        <w:ind w:firstLine="240"/>
        <w:jc w:val="both"/>
        <w:rPr>
          <w:sz w:val="27"/>
        </w:rPr>
      </w:pPr>
      <w:r>
        <w:rPr>
          <w:rFonts w:hint="eastAsia" w:ascii="Calibri" w:hAnsi="Calibri" w:eastAsia="Calibri"/>
          <w:b/>
          <w:u w:val="single"/>
          <w:color w:val="000000"/>
          <w:sz w:val="27"/>
        </w:rPr>
        <w:t xml:space="preserve">KWAS</w:t>
      </w:r>
      <w:r>
        <w:rPr>
          <w:rFonts w:hint="eastAsia" w:ascii="Calibri" w:hAnsi="Calibri" w:eastAsia="Calibri"/>
          <w:b/>
          <w:u w:val="single"/>
          <w:color w:val="BEBEBE"/>
          <w:sz w:val="27"/>
        </w:rPr>
        <w:t xml:space="preserve">U</w:t>
      </w:r>
      <w:r>
        <w:rPr>
          <w:rFonts w:hint="eastAsia" w:ascii="Calibri" w:hAnsi="Calibri" w:eastAsia="Calibri"/>
          <w:b/>
          <w:u w:val="single"/>
          <w:color w:val="000000"/>
          <w:sz w:val="27"/>
        </w:rPr>
        <w:t xml:space="preserve">BPLJ Vol.1,Issue 1,2024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78" w:after="0" w:line="287" w:lineRule="auto"/>
        <w:ind w:firstLine="48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A PUBLICATION OF DEPARTMENT OF BUSINESS AND PRIVATE LAW</w:t>
      </w:r>
    </w:p>
    <w:p>
      <w:pPr>
        <w:spacing w:before="117" w:after="0" w:line="287" w:lineRule="auto"/>
        <w:ind w:firstLine="18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FACULTY OF LAW KWARA STATE UNIVERSITY,MALETE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11" w:lineRule="auto"/>
        <w:ind/>
        <w:jc w:val="center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NOVEMBER 2024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8" w:lineRule="auto"/>
        <w:ind w:firstLine="92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The Journal Can be cited as KWASUBPLJ Vol.1,Issue 1,2024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81" w:after="0" w:line="287" w:lineRule="auto"/>
        <w:ind w:firstLine="88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KWASU</w:t>
      </w:r>
      <w:r>
        <w:rPr>
          <w:rFonts w:hint="eastAsia" w:ascii="Calibri" w:hAnsi="Calibri" w:eastAsia="Calibri"/>
          <w:b/>
          <w:color w:val="000000"/>
          <w:sz w:val="26"/>
        </w:rPr>
        <w:t xml:space="preserve"> BUSINESS</w:t>
      </w:r>
      <w:r>
        <w:rPr>
          <w:rFonts w:hint="eastAsia" w:ascii="Calibri" w:hAnsi="Calibri" w:eastAsia="Calibri"/>
          <w:color w:val="000000"/>
          <w:sz w:val="26"/>
        </w:rPr>
        <w:t xml:space="preserve"> AND</w:t>
      </w:r>
      <w:r>
        <w:rPr>
          <w:rFonts w:hint="eastAsia" w:ascii="Calibri" w:hAnsi="Calibri" w:eastAsia="Calibri"/>
          <w:b/>
          <w:color w:val="000000"/>
          <w:sz w:val="26"/>
        </w:rPr>
        <w:t xml:space="preserve"> PRIVATE LAW JOURNAL (KWASUBPLJ)</w:t>
      </w:r>
    </w:p>
    <w:p>
      <w:pPr>
        <w:spacing w:before="117" w:after="0" w:line="287" w:lineRule="auto"/>
        <w:ind w:firstLine="3000"/>
        <w:jc w:val="both"/>
        <w:rPr>
          <w:sz w:val="26"/>
        </w:rPr>
      </w:pPr>
      <w:r>
        <w:rPr>
          <w:rFonts w:hint="eastAsia" w:ascii="Calibri" w:hAnsi="Calibri" w:eastAsia="Calibri"/>
          <w:u w:val="single"/>
          <w:color w:val="000000"/>
          <w:sz w:val="26"/>
        </w:rPr>
        <w:t xml:space="preserve">b</w:t>
      </w:r>
      <w:r>
        <w:rPr>
          <w:rFonts w:hint="eastAsia" w:ascii="Calibri" w:hAnsi="Calibri" w:eastAsia="Calibri"/>
          <w:u w:val="single"/>
          <w:color w:val="0000FF"/>
          <w:sz w:val="26"/>
        </w:rPr>
        <w:t xml:space="preserve">plj</w:t>
      </w:r>
      <w:r>
        <w:rPr>
          <w:rFonts w:hint="eastAsia" w:ascii="Calibri" w:hAnsi="Calibri" w:eastAsia="Calibri"/>
          <w:u w:val="single"/>
          <w:color w:val="000000"/>
          <w:sz w:val="26"/>
        </w:rPr>
        <w:t xml:space="preserve">@</w:t>
      </w:r>
      <w:r>
        <w:rPr>
          <w:rFonts w:hint="eastAsia" w:ascii="Calibri" w:hAnsi="Calibri" w:eastAsia="Calibri"/>
          <w:u w:val="single"/>
          <w:color w:val="0000FF"/>
          <w:sz w:val="26"/>
        </w:rPr>
        <w:t xml:space="preserve">kwas</w:t>
      </w:r>
      <w:r>
        <w:rPr>
          <w:rFonts w:hint="eastAsia" w:ascii="Calibri" w:hAnsi="Calibri" w:eastAsia="Calibri"/>
          <w:u w:val="single"/>
          <w:color w:val="000000"/>
          <w:sz w:val="26"/>
        </w:rPr>
        <w:t xml:space="preserve">u.edu.ng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7" w:after="0" w:line="312" w:lineRule="auto"/>
        <w:ind/>
        <w:jc w:val="center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6"/>
        </w:rPr>
        <w:t xml:space="preserve"> </w:t>
      </w:r>
      <w:r>
        <w:rPr>
          <w:rFonts w:hint="eastAsia" w:ascii="Calibri" w:hAnsi="Calibri" w:eastAsia="Calibri"/>
          <w:color w:val="000000"/>
          <w:sz w:val="25"/>
        </w:rPr>
        <w:t xml:space="preserve">      </w:t>
      </w: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21" w:after="0" w:line="336" w:lineRule="auto"/>
        <w:ind w:left="400" w:right="1540" w:hanging="36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(c) Department of Business and Private Law, Kwara </w:t>
      </w:r>
      <w:r>
        <w:rPr>
          <w:rFonts w:hint="eastAsia" w:ascii="Calibri" w:hAnsi="Calibri" w:eastAsia="Calibri"/>
          <w:b/>
          <w:color w:val="000000"/>
          <w:sz w:val="26"/>
        </w:rPr>
        <w:t xml:space="preserve">State </w:t>
      </w:r>
      <w:r>
        <w:rPr>
          <w:rFonts w:hint="eastAsia" w:ascii="Calibri" w:hAnsi="Calibri" w:eastAsia="Calibri"/>
          <w:color w:val="000000"/>
          <w:sz w:val="26"/>
        </w:rPr>
        <w:t xml:space="preserve">University,Malete </w:t>
      </w:r>
      <w:r>
        <w:rPr>
          <w:rFonts w:hint="eastAsia" w:ascii="Calibri" w:hAnsi="Calibri" w:eastAsia="Calibri"/>
          <w:color w:val="000000"/>
          <w:sz w:val="26"/>
        </w:rPr>
        <w:t xml:space="preserve">P.M.B 1530,Ilorin, Kwara State, Nigeria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4" w:lineRule="auto"/>
        <w:ind w:right="4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All rights reserved. No part of this publication may be reproduced,stored in a retrieval </w:t>
      </w:r>
      <w:r>
        <w:rPr>
          <w:rFonts w:hint="eastAsia" w:ascii="Calibri" w:hAnsi="Calibri" w:eastAsia="Calibri"/>
          <w:color w:val="000000"/>
          <w:sz w:val="26"/>
        </w:rPr>
        <w:t xml:space="preserve">system, or transmitted in any form or by any means, electronic or mechanical, including </w:t>
      </w:r>
      <w:r>
        <w:rPr>
          <w:rFonts w:hint="eastAsia" w:ascii="Calibri" w:hAnsi="Calibri" w:eastAsia="Calibri"/>
          <w:color w:val="000000"/>
          <w:sz w:val="26"/>
        </w:rPr>
        <w:t xml:space="preserve">photocopy, without the publisher's permission.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3" w:after="0" w:line="311" w:lineRule="auto"/>
        <w:ind w:firstLine="40"/>
        <w:jc w:val="both"/>
        <w:rPr>
          <w:sz w:val="27"/>
        </w:rPr>
        <w:sectPr>
          <w:type w:val="continuous"/>
          <w:pgSz w:w="11900" w:h="17940" w:orient="portrait"/>
          <w:pgMar w:top="720" w:right="960" w:bottom="1440" w:left="960" w:header="360" w:footer="720"/>
          <w:cols w:equalWidth="true" w:num="1"/>
        </w:sectPr>
      </w:pPr>
      <w:r>
        <w:rPr>
          <w:rFonts w:hint="eastAsia" w:ascii="Calibri" w:hAnsi="Calibri" w:eastAsia="Calibri"/>
          <w:b/>
          <w:u w:val="single"/>
          <w:color w:val="000000"/>
          <w:sz w:val="27"/>
        </w:rPr>
        <w:t xml:space="preserve">KWASUBPLJ Vol. 1, Issue 1, 2024</w:t>
      </w:r>
    </w:p>
    <w:p>
      <w:pPr>
        <w:spacing w:before="20" w:after="0" w:line="321" w:lineRule="auto"/>
        <w:ind/>
        <w:jc w:val="center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</w:t>
      </w:r>
      <w:r>
        <w:rPr>
          <w:rFonts w:hint="eastAsia" w:ascii="Calibri" w:hAnsi="Calibri" w:eastAsia="Calibri"/>
          <w:color w:val="000000"/>
          <w:sz w:val="24"/>
        </w:rPr>
        <w:t xml:space="preserve">                        </w:t>
      </w:r>
      <w:r>
        <w:rPr>
          <w:rFonts w:hint="eastAsia" w:ascii="Calibri" w:hAnsi="Calibri" w:eastAsia="Calibri"/>
          <w:b/>
          <w:color w:val="000000"/>
          <w:sz w:val="24"/>
        </w:rPr>
        <w:t xml:space="preserve">INSTRUCTION TO AUTHORS</w:t>
      </w:r>
    </w:p>
    <w:p>
      <w:pPr>
        <w:spacing w:before="26" w:after="0" w:line="259" w:lineRule="auto"/>
        <w:ind w:left="560" w:right="2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Editorial Board of the KWASU Business and Private Law Journal, KWASUBPLJ (a </w:t>
      </w:r>
      <w:r>
        <w:rPr>
          <w:rFonts w:hint="eastAsia" w:ascii="Calibri" w:hAnsi="Calibri" w:eastAsia="Calibri"/>
          <w:color w:val="000000"/>
          <w:sz w:val="24"/>
        </w:rPr>
        <w:t xml:space="preserve">publication of the Department of Business and Private Law, Faculty of Law, Kwara State </w:t>
      </w:r>
      <w:r>
        <w:rPr>
          <w:rFonts w:hint="eastAsia" w:ascii="Calibri" w:hAnsi="Calibri" w:eastAsia="Calibri"/>
          <w:color w:val="000000"/>
          <w:sz w:val="24"/>
        </w:rPr>
        <w:t xml:space="preserve">University, Malete, Nigeria) invites submissions of articles for publication in its Journal.</w:t>
      </w:r>
      <w:r>
        <w:rPr>
          <w:rFonts w:hint="eastAsia" w:ascii="Calibri" w:hAnsi="Calibri" w:eastAsia="Calibri"/>
          <w:color w:val="000000"/>
          <w:sz w:val="24"/>
        </w:rPr>
        <w:t xml:space="preserve">KWASUBPLJ is an annual peer-reviewed journal focusing on diverse areas of law, legal practice,</w:t>
      </w:r>
      <w:r>
        <w:rPr>
          <w:rFonts w:hint="eastAsia" w:ascii="Calibri" w:hAnsi="Calibri" w:eastAsia="Calibri"/>
          <w:color w:val="000000"/>
          <w:sz w:val="24"/>
        </w:rPr>
        <w:t xml:space="preserve">and the review of contemporary developments in law. Articles must be original and must not be </w:t>
      </w:r>
      <w:r>
        <w:rPr>
          <w:rFonts w:hint="eastAsia" w:ascii="Calibri" w:hAnsi="Calibri" w:eastAsia="Calibri"/>
          <w:color w:val="000000"/>
          <w:sz w:val="24"/>
        </w:rPr>
        <w:t xml:space="preserve">under consideration for publication elsewhere.</w:t>
      </w:r>
    </w:p>
    <w:p>
      <w:pPr>
        <w:spacing w:before="194" w:after="0" w:line="249" w:lineRule="auto"/>
        <w:ind w:left="560" w:right="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Submission should be  emailed  to:  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bplj@kwasu.edu.ng</w:t>
      </w:r>
      <w:r>
        <w:rPr>
          <w:rFonts w:hint="eastAsia" w:ascii="Calibri" w:hAnsi="Calibri" w:eastAsia="Calibri"/>
          <w:color w:val="000000"/>
          <w:sz w:val="24"/>
        </w:rPr>
        <w:t xml:space="preserve"> and copied 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olariyike.akintoye@kwasu.edu.ng</w:t>
      </w:r>
    </w:p>
    <w:p>
      <w:pPr>
        <w:spacing w:before="188" w:after="0" w:line="259" w:lineRule="auto"/>
        <w:ind w:firstLine="6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GUIDELINES FOR SUBMISSION OF ARTICLE</w:t>
      </w:r>
    </w:p>
    <w:p>
      <w:pPr>
        <w:spacing w:before="182" w:after="0" w:line="239" w:lineRule="auto"/>
        <w:ind w:left="640" w:right="40" w:hanging="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1.A cover page that must include the name(s), affiliation(s), e-mail(s) and telephone number(s) of </w:t>
      </w:r>
      <w:r>
        <w:rPr>
          <w:rFonts w:hint="eastAsia" w:ascii="Calibri" w:hAnsi="Calibri" w:eastAsia="Calibri"/>
          <w:color w:val="000000"/>
          <w:sz w:val="24"/>
        </w:rPr>
        <w:t xml:space="preserve">authors for correspondence.</w:t>
      </w:r>
    </w:p>
    <w:p>
      <w:pPr>
        <w:spacing w:before="172" w:after="0" w:line="249" w:lineRule="auto"/>
        <w:ind w:left="580" w:right="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2.Submissions must be between 6000-10000 words and should have an abstract of not more than </w:t>
      </w:r>
      <w:r>
        <w:rPr>
          <w:rFonts w:hint="eastAsia" w:ascii="Calibri" w:hAnsi="Calibri" w:eastAsia="Calibri"/>
          <w:color w:val="000000"/>
          <w:sz w:val="24"/>
        </w:rPr>
        <w:t xml:space="preserve">250 words and include a maximum of 6 key words.</w:t>
      </w:r>
    </w:p>
    <w:p>
      <w:pPr>
        <w:spacing w:before="168" w:after="0" w:line="259" w:lineRule="auto"/>
        <w:ind w:left="620" w:right="60" w:hanging="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3.The text should be in a Microsoft Word document: Times New Romans. Font Size: 12 for the </w:t>
      </w:r>
      <w:r>
        <w:rPr>
          <w:rFonts w:hint="eastAsia" w:ascii="Calibri" w:hAnsi="Calibri" w:eastAsia="Calibri"/>
          <w:color w:val="000000"/>
          <w:sz w:val="24"/>
        </w:rPr>
        <w:t xml:space="preserve">main text and 10 for footnotes, Line Spacing: 1.5 on A4 sheets. Pages should be numbered </w:t>
      </w:r>
      <w:r>
        <w:rPr>
          <w:rFonts w:hint="eastAsia" w:ascii="Calibri" w:hAnsi="Calibri" w:eastAsia="Calibri"/>
          <w:color w:val="000000"/>
          <w:sz w:val="24"/>
        </w:rPr>
        <w:t xml:space="preserve">consecutively at the bottom (middle) of the page.</w:t>
      </w:r>
    </w:p>
    <w:p>
      <w:pPr>
        <w:spacing w:before="127" w:after="0" w:line="259" w:lineRule="auto"/>
        <w:ind w:firstLine="6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4.All spellings should be in English (British Format)</w:t>
      </w:r>
    </w:p>
    <w:p>
      <w:pPr>
        <w:spacing w:before="162" w:after="0" w:line="259" w:lineRule="auto"/>
        <w:ind w:firstLine="6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5.Citation and references for sources should be in footnotes automatically generated</w:t>
      </w:r>
    </w:p>
    <w:p>
      <w:pPr>
        <w:spacing w:before="122" w:after="0" w:line="254" w:lineRule="auto"/>
        <w:ind w:left="640" w:right="1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6.Nigerian Association of Law Teachers Citation 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(</w:t>
      </w:r>
      <w:r>
        <w:rPr>
          <w:rFonts w:hint="eastAsia" w:ascii="Calibri" w:hAnsi="Calibri" w:eastAsia="Calibri"/>
          <w:color w:val="000000"/>
          <w:sz w:val="24"/>
        </w:rPr>
        <w:t xml:space="preserve">NALT) a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t https://sabilaw.org/nalt.referencing-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zuide</w:t>
      </w:r>
      <w:r>
        <w:rPr>
          <w:rFonts w:hint="eastAsia" w:ascii="Calibri" w:hAnsi="Calibri" w:eastAsia="Calibri"/>
          <w:color w:val="000000"/>
          <w:sz w:val="24"/>
        </w:rPr>
        <w:t xml:space="preserve"> or The OSCOLA 4th edition,available a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t www.law.ox.ac.uk/oscola </w:t>
      </w:r>
      <w:r>
        <w:rPr>
          <w:rFonts w:hint="eastAsia" w:ascii="Calibri" w:hAnsi="Calibri" w:eastAsia="Calibri"/>
          <w:color w:val="000000"/>
          <w:sz w:val="24"/>
        </w:rPr>
        <w:t xml:space="preserve">must be adhered to for </w:t>
      </w:r>
      <w:r>
        <w:rPr>
          <w:rFonts w:hint="eastAsia" w:ascii="Calibri" w:hAnsi="Calibri" w:eastAsia="Calibri"/>
          <w:color w:val="000000"/>
          <w:sz w:val="24"/>
        </w:rPr>
        <w:t xml:space="preserve">all submissions</w:t>
      </w:r>
    </w:p>
    <w:p>
      <w:pPr>
        <w:spacing w:before="185" w:after="0" w:line="239" w:lineRule="auto"/>
        <w:ind w:firstLine="6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7.Online sources should indicate the site and last date of visit.</w:t>
      </w:r>
    </w:p>
    <w:p>
      <w:pPr>
        <w:spacing w:before="166" w:after="0" w:line="244" w:lineRule="auto"/>
        <w:ind w:left="640" w:right="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8. Publication of articles indicates contributors' consent to the transfer of the copyright thereto to </w:t>
      </w:r>
      <w:r>
        <w:rPr>
          <w:rFonts w:hint="eastAsia" w:ascii="Calibri" w:hAnsi="Calibri" w:eastAsia="Calibri"/>
          <w:color w:val="000000"/>
          <w:sz w:val="24"/>
        </w:rPr>
        <w:t xml:space="preserve">the publisher of KWASUBPLJ. Contributors whose articles are published reserve the right to </w:t>
      </w:r>
      <w:r>
        <w:rPr>
          <w:rFonts w:hint="eastAsia" w:ascii="Calibri" w:hAnsi="Calibri" w:eastAsia="Calibri"/>
          <w:color w:val="000000"/>
          <w:sz w:val="24"/>
        </w:rPr>
        <w:t xml:space="preserve">upload a copy of their articles on their personal sites or repositories, if they state clearly that the </w:t>
      </w:r>
      <w:r>
        <w:rPr>
          <w:rFonts w:hint="eastAsia" w:ascii="Calibri" w:hAnsi="Calibri" w:eastAsia="Calibri"/>
          <w:color w:val="000000"/>
          <w:sz w:val="24"/>
        </w:rPr>
        <w:t xml:space="preserve">article was originally published in the KWASUBPLJ.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01" w:after="0" w:line="239" w:lineRule="auto"/>
        <w:ind w:firstLine="6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For more enquiries,contact-</w:t>
      </w:r>
    </w:p>
    <w:p>
      <w:pPr>
        <w:spacing w:before="180" w:after="0" w:line="239" w:lineRule="auto"/>
        <w:ind w:firstLine="70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1.Dr.Olariyike Damola Editor-in-Chief</w:t>
      </w:r>
    </w:p>
    <w:p>
      <w:pPr>
        <w:spacing w:before="166" w:after="0" w:line="292" w:lineRule="auto"/>
        <w:ind w:firstLine="9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E-mail:    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olariyike.akintoye@kwasu.edu.ng</w:t>
      </w:r>
      <w:r>
        <w:rPr>
          <w:rFonts w:hint="eastAsia" w:ascii="Calibri" w:hAnsi="Calibri" w:eastAsia="Calibri"/>
          <w:color w:val="000000"/>
          <w:sz w:val="24"/>
        </w:rPr>
        <w:t xml:space="preserve">/riyikeakintoye@yahoo.com</w:t>
      </w:r>
    </w:p>
    <w:p>
      <w:pPr>
        <w:spacing w:before="101" w:after="0" w:line="273" w:lineRule="auto"/>
        <w:ind w:firstLine="8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Telephone: +234 805 583 0014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0" w:after="0" w:line="273" w:lineRule="auto"/>
        <w:ind w:firstLine="700"/>
        <w:jc w:val="both"/>
        <w:rPr>
          <w:sz w:val="24"/>
        </w:rPr>
        <w:sectPr>
          <w:headerReference w:type="default" r:id="R5981d424354b45b0"/>
          <w:footerReference w:type="default" r:id="Rb3a80e31ecf94f4d"/>
          <w:type w:val="continuous"/>
          <w:pgSz w:w="11900" w:h="17680" w:orient="portrait"/>
          <w:pgMar w:top="1200" w:right="720" w:bottom="2160" w:left="720" w:header="600" w:footer="1080"/>
          <w:cols w:equalWidth="true" w:num="1"/>
        </w:sectPr>
      </w:pPr>
      <w:r>
        <w:rPr>
          <w:rFonts w:hint="eastAsia" w:ascii="Calibri" w:hAnsi="Calibri" w:eastAsia="Calibri"/>
          <w:b/>
          <w:color w:val="000000"/>
          <w:sz w:val="24"/>
        </w:rPr>
        <w:t xml:space="preserve">KWASUBPLJ Vol. 1, Issue 1,2024</w:t>
      </w:r>
    </w:p>
    <w:p>
      <w:pPr>
        <w:spacing w:before="20" w:after="0" w:line="239" w:lineRule="auto"/>
        <w:ind/>
        <w:jc w:val="center"/>
        <w:rPr>
          <w:sz w:val="26"/>
        </w:rPr>
      </w:pPr>
      <w:r>
        <w:rPr>
          <w:rFonts w:hint="eastAsia" w:ascii="Calibri" w:hAnsi="Calibri" w:eastAsia="Calibri"/>
          <w:b/>
          <w:color w:val="000000"/>
          <w:sz w:val="26"/>
        </w:rPr>
        <w:t xml:space="preserve">EDITORIAL COMMENT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3" w:after="0" w:line="215" w:lineRule="auto"/>
        <w:ind w:right="8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The debut of KWASU Business and Private Law Journal(KWASUBPLJ) ISSN: 0795-7408 is a </w:t>
      </w:r>
      <w:r>
        <w:rPr>
          <w:rFonts w:hint="eastAsia" w:ascii="Calibri" w:hAnsi="Calibri" w:eastAsia="Calibri"/>
          <w:color w:val="000000"/>
          <w:sz w:val="26"/>
        </w:rPr>
        <w:t xml:space="preserve">dream come true. It has always been in our plan as a department to publish a world-class </w:t>
      </w:r>
      <w:r>
        <w:rPr>
          <w:rFonts w:hint="eastAsia" w:ascii="Calibri" w:hAnsi="Calibri" w:eastAsia="Calibri"/>
          <w:color w:val="000000"/>
          <w:sz w:val="26"/>
        </w:rPr>
        <w:t xml:space="preserve">intellectual journal as part of our contribution to knowledge. As we can see members of our </w:t>
      </w:r>
      <w:r>
        <w:rPr>
          <w:rFonts w:hint="eastAsia" w:ascii="Calibri" w:hAnsi="Calibri" w:eastAsia="Calibri"/>
          <w:color w:val="000000"/>
          <w:sz w:val="26"/>
        </w:rPr>
        <w:t xml:space="preserve">advisory board cut across some major Nigerian Universities, Africa, and the globe.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35" w:after="0" w:line="278" w:lineRule="auto"/>
        <w:ind w:right="8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This edition contains well-researched articles in diverse areas of law such as Revenue Law, Land </w:t>
      </w:r>
      <w:r>
        <w:rPr>
          <w:rFonts w:hint="eastAsia" w:ascii="Calibri" w:hAnsi="Calibri" w:eastAsia="Calibri"/>
          <w:color w:val="000000"/>
          <w:sz w:val="26"/>
        </w:rPr>
        <w:t xml:space="preserve">Law,Law of Arbitration,Property Law,and International Law amongst others.</w:t>
      </w:r>
    </w:p>
    <w:p>
      <w:pPr>
        <w:spacing w:before="81" w:after="0" w:line="244" w:lineRule="auto"/>
        <w:ind w:right="6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Contributions to this first edition of the journal came from different academia from different </w:t>
      </w:r>
      <w:r>
        <w:rPr>
          <w:rFonts w:hint="eastAsia" w:ascii="Calibri" w:hAnsi="Calibri" w:eastAsia="Calibri"/>
          <w:color w:val="000000"/>
          <w:sz w:val="26"/>
        </w:rPr>
        <w:t xml:space="preserve">institutions within and outside Nigeria. We are proud to say that the Journal has an international </w:t>
      </w:r>
      <w:r>
        <w:rPr>
          <w:rFonts w:hint="eastAsia" w:ascii="Calibri" w:hAnsi="Calibri" w:eastAsia="Calibri"/>
          <w:color w:val="000000"/>
          <w:sz w:val="26"/>
        </w:rPr>
        <w:t xml:space="preserve">spread.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54" w:after="0" w:line="215" w:lineRule="auto"/>
        <w:ind w:left="20" w:right="4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The publication continues once annually as contributions are attended to on a roll-on basis.As we </w:t>
      </w:r>
      <w:r>
        <w:rPr>
          <w:rFonts w:hint="eastAsia" w:ascii="Calibri" w:hAnsi="Calibri" w:eastAsia="Calibri"/>
          <w:color w:val="000000"/>
          <w:sz w:val="26"/>
        </w:rPr>
        <w:t xml:space="preserve">go to press with this first volume, preparations are in top gear to bring out another Call for Paper </w:t>
      </w:r>
      <w:r>
        <w:rPr>
          <w:rFonts w:hint="eastAsia" w:ascii="Calibri" w:hAnsi="Calibri" w:eastAsia="Calibri"/>
          <w:color w:val="000000"/>
          <w:sz w:val="26"/>
        </w:rPr>
        <w:t xml:space="preserve">for the second volume which is scheduled to come out in the year 2025.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35" w:after="0" w:line="249" w:lineRule="auto"/>
        <w:ind w:left="20" w:right="20" w:firstLine="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We use this opportunity to thank the contributors to this maiden edition on their pioneering effort.</w:t>
      </w:r>
      <w:r>
        <w:rPr>
          <w:rFonts w:hint="eastAsia" w:ascii="Calibri" w:hAnsi="Calibri" w:eastAsia="Calibri"/>
          <w:color w:val="000000"/>
          <w:sz w:val="26"/>
        </w:rPr>
        <w:t xml:space="preserve">We look forward to more well-researched papers and encourage more contributions from seasoned </w:t>
      </w:r>
      <w:r>
        <w:rPr>
          <w:rFonts w:hint="eastAsia" w:ascii="Calibri" w:hAnsi="Calibri" w:eastAsia="Calibri"/>
          <w:color w:val="000000"/>
          <w:sz w:val="26"/>
        </w:rPr>
        <w:t xml:space="preserve">academics, and members of the bar in subsequent editions. Submission should be e-mailed to </w:t>
      </w:r>
      <w:r>
        <w:rPr>
          <w:rFonts w:hint="eastAsia" w:ascii="Calibri" w:hAnsi="Calibri" w:eastAsia="Calibri"/>
          <w:u w:val="single"/>
          <w:color w:val="000000"/>
          <w:sz w:val="26"/>
        </w:rPr>
        <w:t xml:space="preserve">bplj@kwasu.edu.ng.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96" w:after="0" w:line="215" w:lineRule="auto"/>
        <w:ind w:firstLine="440"/>
        <w:jc w:val="both"/>
        <w:rPr>
          <w:sz w:val="26"/>
        </w:rPr>
      </w:pPr>
      <w:r>
        <w:rPr>
          <w:rFonts w:hint="eastAsia" w:ascii="Calibri" w:hAnsi="Calibri" w:eastAsia="Calibri"/>
          <w:u w:val="single"/>
          <w:color w:val="000000"/>
          <w:sz w:val="26"/>
        </w:rPr>
        <w:t xml:space="preserve">   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67" w:after="0" w:line="297" w:lineRule="auto"/>
        <w:ind w:firstLine="4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Dr.Olariyike Damola Akintoye</w:t>
      </w:r>
    </w:p>
    <w:p>
      <w:pPr>
        <w:spacing w:before="145" w:after="0" w:line="225" w:lineRule="auto"/>
        <w:ind w:firstLine="60"/>
        <w:jc w:val="both"/>
        <w:rPr>
          <w:sz w:val="26"/>
        </w:rPr>
      </w:pPr>
      <w:r>
        <w:rPr>
          <w:rFonts w:hint="eastAsia" w:ascii="Calibri" w:hAnsi="Calibri" w:eastAsia="Calibri"/>
          <w:color w:val="000000"/>
          <w:sz w:val="26"/>
        </w:rPr>
        <w:t xml:space="preserve">Editor-in-Chief</w:t>
      </w:r>
    </w:p>
    <w:p>
      <w:pPr>
        <w:spacing w:before="160" w:after="0" w:line="268" w:lineRule="auto"/>
        <w:ind w:firstLine="60"/>
        <w:jc w:val="both"/>
        <w:rPr>
          <w:sz w:val="26"/>
        </w:rPr>
        <w:sectPr>
          <w:headerReference w:type="default" r:id="R0aa8492d7592447f"/>
          <w:footerReference w:type="default" r:id="Ref2a0e17efe84721"/>
          <w:type w:val="continuous"/>
          <w:pgSz w:w="11900" w:h="18080" w:orient="portrait"/>
          <w:pgMar w:top="1440" w:right="720" w:bottom="2880" w:left="720" w:header="720" w:footer="1440"/>
          <w:cols w:equalWidth="true" w:num="1"/>
        </w:sectPr>
      </w:pPr>
      <w:r>
        <w:rPr>
          <w:rFonts w:hint="eastAsia" w:ascii="Calibri" w:hAnsi="Calibri" w:eastAsia="Calibri"/>
          <w:color w:val="000000"/>
          <w:sz w:val="26"/>
        </w:rPr>
        <w:t xml:space="preserve">KWASUBPLJ</w:t>
      </w:r>
    </w:p>
    <w:p>
      <w:pPr>
        <w:spacing w:before="0" w:after="0" w:line="22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b/>
          <w:color w:val="000000"/>
          <w:sz w:val="28"/>
        </w:rPr>
        <w:t xml:space="preserve">EDITORIAL BOARD</w:t>
      </w:r>
    </w:p>
    <w:p>
      <w:pPr>
        <w:spacing w:before="50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Editor-in-Chief</w:t>
      </w:r>
    </w:p>
    <w:p>
      <w:pPr>
        <w:spacing w:before="5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Dr. Olariyike Damola Akintoye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Editor</w:t>
      </w:r>
    </w:p>
    <w:p>
      <w:pPr>
        <w:spacing w:before="45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Dr.Oyesola Olufemi Animashaun</w:t>
      </w:r>
    </w:p>
    <w:p>
      <w:pPr>
        <w:spacing w:before="5" w:after="0" w:line="360" w:lineRule="auto"/>
        <w:ind w:firstLine="320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Associate Editors</w:t>
      </w:r>
    </w:p>
    <w:p>
      <w:pPr>
        <w:spacing w:before="45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Dr.Kudirat Magaji W.Owolabi</w:t>
      </w:r>
    </w:p>
    <w:p>
      <w:pPr>
        <w:spacing w:before="5" w:after="0" w:line="360" w:lineRule="auto"/>
        <w:ind w:firstLine="314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Dr.Ahmed Isau</w:t>
      </w:r>
    </w:p>
    <w:p>
      <w:pPr>
        <w:spacing w:before="25" w:after="0" w:line="360" w:lineRule="auto"/>
        <w:ind w:firstLine="31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Dr.Biliqis Baraje</w:t>
      </w:r>
    </w:p>
    <w:p>
      <w:pPr>
        <w:spacing w:before="25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Alhaji AbdulRahman Malik</w:t>
      </w:r>
    </w:p>
    <w:p>
      <w:pPr>
        <w:spacing w:before="5" w:after="0" w:line="360" w:lineRule="auto"/>
        <w:ind w:firstLine="354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Secretary</w:t>
      </w:r>
    </w:p>
    <w:p>
      <w:pPr>
        <w:spacing w:before="5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Mr.Stephen Adelowo Asonibare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60" w:lineRule="auto"/>
        <w:ind/>
        <w:jc w:val="center"/>
        <w:rPr>
          <w:sz w:val="28"/>
        </w:rPr>
      </w:pPr>
      <w:r>
        <w:rPr>
          <w:rFonts w:hint="eastAsia" w:ascii="Calibri" w:hAnsi="Calibri" w:eastAsia="Calibri"/>
          <w:b/>
          <w:color w:val="000000"/>
          <w:sz w:val="28"/>
        </w:rPr>
        <w:t xml:space="preserve">EDITORIAL BOARD/EDITORIALADVISORY COMMITTEE</w:t>
      </w:r>
    </w:p>
    <w:p>
      <w:pPr>
        <w:spacing w:before="0" w:after="0" w:line="220" w:lineRule="auto"/>
        <w:ind w:firstLine="298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Prof.YDU Hambali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3" w:lineRule="auto"/>
        <w:ind w:firstLine="284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Dean of Law,KWASU</w:t>
      </w:r>
    </w:p>
    <w:p>
      <w:pPr>
        <w:spacing w:before="20" w:after="0" w:line="360" w:lineRule="auto"/>
        <w:ind w:firstLine="278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Prof.M.T.Abdulrazaq.</w:t>
      </w:r>
    </w:p>
    <w:p>
      <w:pPr>
        <w:spacing w:before="25" w:after="0" w:line="360" w:lineRule="auto"/>
        <w:ind w:firstLine="192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Faculty of Law, Lagos State University</w:t>
      </w:r>
    </w:p>
    <w:p>
      <w:pPr>
        <w:spacing w:before="5" w:after="0" w:line="360" w:lineRule="auto"/>
        <w:ind w:firstLine="23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 Kayode Ibrahim Adam.</w:t>
      </w:r>
    </w:p>
    <w:p>
      <w:pPr>
        <w:spacing w:before="25" w:after="0" w:line="360" w:lineRule="auto"/>
        <w:ind w:firstLine="15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Visiting Professor from University of Ilorin</w:t>
      </w:r>
    </w:p>
    <w:p>
      <w:pPr>
        <w:spacing w:before="0" w:after="0" w:line="263" w:lineRule="auto"/>
        <w:ind w:firstLine="28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 Abdulhamid Oba Yusuf</w:t>
      </w:r>
    </w:p>
    <w:p>
      <w:pPr>
        <w:spacing w:before="108" w:after="0" w:line="360" w:lineRule="auto"/>
        <w:ind w:firstLine="208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On Sabbatical from the University of Ilorin</w:t>
      </w:r>
    </w:p>
    <w:p>
      <w:pPr>
        <w:spacing w:before="5" w:after="0" w:line="360" w:lineRule="auto"/>
        <w:ind w:firstLine="280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Prof. (Mrs). Omolade Olomola</w:t>
      </w:r>
    </w:p>
    <w:p>
      <w:pPr>
        <w:spacing w:before="5" w:after="0" w:line="360" w:lineRule="auto"/>
        <w:ind w:firstLine="202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Cavendish University, Uganda/ University of Ibadan</w:t>
      </w:r>
    </w:p>
    <w:p>
      <w:pPr>
        <w:spacing w:before="0" w:after="0" w:line="249" w:lineRule="auto"/>
        <w:ind w:firstLine="272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Dr Eki Yemisi Omorogbe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9" w:lineRule="auto"/>
        <w:ind w:firstLine="29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Leicester Law School</w:t>
      </w:r>
    </w:p>
    <w:p>
      <w:pPr>
        <w:spacing w:before="59" w:after="0" w:line="360" w:lineRule="auto"/>
        <w:ind w:firstLine="188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University of Leicester, United Kingdom (ILPAN)</w:t>
      </w:r>
    </w:p>
    <w:p>
      <w:pPr>
        <w:spacing w:before="5" w:after="0" w:line="360" w:lineRule="auto"/>
        <w:ind w:firstLine="1460"/>
        <w:jc w:val="both"/>
        <w:rPr>
          <w:sz w:val="28"/>
        </w:rPr>
      </w:pPr>
      <w:r>
        <w:rPr>
          <w:rFonts w:hint="eastAsia" w:ascii="Calibri" w:hAnsi="Calibri" w:eastAsia="Calibri"/>
          <w:color w:val="000000"/>
          <w:sz w:val="28"/>
        </w:rPr>
        <w:t xml:space="preserve">Prof.Usman Muhammad Shu'aib (Zunnurain)</w:t>
      </w:r>
    </w:p>
    <w:p>
      <w:pPr>
        <w:spacing w:before="65" w:after="0" w:line="373" w:lineRule="auto"/>
        <w:ind w:firstLine="2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Director,International,Institute of Islamic Banking and Finance Bayero University, Kano</w:t>
      </w:r>
    </w:p>
    <w:p>
      <w:pPr>
        <w:spacing w:before="0" w:after="0" w:line="249" w:lineRule="auto"/>
        <w:ind w:firstLine="3540"/>
        <w:jc w:val="both"/>
        <w:rPr>
          <w:sz w:val="28"/>
        </w:rPr>
        <w:sectPr>
          <w:headerReference w:type="default" r:id="R7a2f49b3f9554a42"/>
          <w:footerReference w:type="default" r:id="R5b8d11a98c344d20"/>
          <w:type w:val="continuous"/>
          <w:pgSz w:w="11900" w:h="19400" w:orient="portrait"/>
          <w:pgMar w:top="960" w:right="720" w:bottom="2400" w:left="720" w:header="480" w:footer="1200"/>
          <w:cols w:equalWidth="true" w:num="1"/>
        </w:sectPr>
      </w:pPr>
      <w:r>
        <w:rPr>
          <w:rFonts w:hint="eastAsia" w:ascii="Calibri" w:hAnsi="Calibri" w:eastAsia="Calibri"/>
          <w:color w:val="000000"/>
          <w:sz w:val="28"/>
        </w:rPr>
        <w:t xml:space="preserve">(IIIBF-BUK)</w:t>
      </w:r>
    </w:p>
    <w:p>
      <w:pPr>
        <w:spacing w:before="0" w:after="0" w:line="211" w:lineRule="auto"/>
        <w:ind w:firstLine="280"/>
        <w:jc w:val="both"/>
        <w:rPr>
          <w:sz w:val="31"/>
        </w:rPr>
      </w:pPr>
      <w:r>
        <w:rPr>
          <w:rFonts w:hint="eastAsia" w:ascii="Calibri" w:hAnsi="Calibri" w:eastAsia="Calibri"/>
          <w:b/>
          <w:color w:val="000000"/>
          <w:sz w:val="31"/>
        </w:rPr>
        <w:t xml:space="preserve">LIST OF CONTRIBUTORS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39" w:lineRule="auto"/>
        <w:ind w:firstLine="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Abdulkareem,Ademola Mashood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9" w:lineRule="auto"/>
        <w:ind w:firstLine="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Abdulrazaq,Muhammed Taofeeq</w:t>
      </w:r>
    </w:p>
    <w:p>
      <w:pPr>
        <w:spacing w:before="54" w:after="0" w:line="335" w:lineRule="auto"/>
        <w:ind w:firstLine="5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Adeojo,Ifedamola Blessing</w:t>
      </w:r>
    </w:p>
    <w:p>
      <w:pPr>
        <w:spacing w:before="108" w:after="0" w:line="335" w:lineRule="auto"/>
        <w:ind w:firstLine="4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Adeyeye,Elijah Oluwakorede</w:t>
      </w:r>
    </w:p>
    <w:p>
      <w:pPr>
        <w:spacing w:before="88" w:after="0" w:line="335" w:lineRule="auto"/>
        <w:ind w:firstLine="8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Agbo,Friday Ojonugwa</w:t>
      </w:r>
    </w:p>
    <w:p>
      <w:pPr>
        <w:spacing w:before="48" w:after="0" w:line="335" w:lineRule="auto"/>
        <w:ind w:firstLine="54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Akintoye,Olariyike Damola</w:t>
      </w:r>
    </w:p>
    <w:p>
      <w:pPr>
        <w:spacing w:before="88" w:after="0" w:line="335" w:lineRule="auto"/>
        <w:ind w:firstLine="3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Animashaun,Oyesola Olufemi</w:t>
      </w:r>
    </w:p>
    <w:p>
      <w:pPr>
        <w:spacing w:before="48" w:after="0" w:line="335" w:lineRule="auto"/>
        <w:ind w:firstLine="4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Ashimi, Selome Oluwaseun &amp;</w:t>
      </w:r>
    </w:p>
    <w:p>
      <w:pPr>
        <w:spacing w:before="68" w:after="0" w:line="335" w:lineRule="auto"/>
        <w:ind w:firstLine="5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Asonibare,Adelowo Stephen</w:t>
      </w:r>
    </w:p>
    <w:p>
      <w:pPr>
        <w:spacing w:before="48" w:after="0" w:line="335" w:lineRule="auto"/>
        <w:ind w:firstLine="9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Bakare,Mujidat Subair</w:t>
      </w:r>
    </w:p>
    <w:p>
      <w:pPr>
        <w:spacing w:before="48" w:after="0" w:line="335" w:lineRule="auto"/>
        <w:ind w:firstLine="7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Baraje,Biliqis Abdulkadir</w:t>
      </w:r>
    </w:p>
    <w:p>
      <w:pPr>
        <w:spacing w:before="28" w:after="0" w:line="335" w:lineRule="auto"/>
        <w:ind w:firstLine="84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Bello,Amina Muhammad</w:t>
      </w:r>
    </w:p>
    <w:p>
      <w:pPr>
        <w:spacing w:before="28" w:after="0" w:line="335" w:lineRule="auto"/>
        <w:ind w:firstLine="13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Biangten, Truth R</w:t>
      </w:r>
    </w:p>
    <w:p>
      <w:pPr>
        <w:spacing w:before="48" w:after="0" w:line="335" w:lineRule="auto"/>
        <w:ind w:firstLine="6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Chukwuemeka,Israel Dinne</w:t>
      </w:r>
    </w:p>
    <w:p>
      <w:pPr>
        <w:spacing w:before="48" w:after="0" w:line="335" w:lineRule="auto"/>
        <w:ind w:firstLine="11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Dabup,Yebo Stephen</w:t>
      </w:r>
    </w:p>
    <w:p>
      <w:pPr>
        <w:spacing w:before="8" w:after="0" w:line="335" w:lineRule="auto"/>
        <w:ind w:firstLine="8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Daniel,Philemon Saredau</w:t>
      </w:r>
    </w:p>
    <w:p>
      <w:pPr>
        <w:spacing w:before="68" w:after="0" w:line="335" w:lineRule="auto"/>
        <w:ind w:firstLine="11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Ehigiator,Enemhinye</w:t>
      </w:r>
    </w:p>
    <w:p>
      <w:pPr>
        <w:spacing w:before="28" w:after="0" w:line="335" w:lineRule="auto"/>
        <w:ind w:firstLine="7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Ifurueze,Amarachi Mariana</w:t>
      </w:r>
    </w:p>
    <w:p>
      <w:pPr>
        <w:spacing w:before="68" w:after="0" w:line="335" w:lineRule="auto"/>
        <w:ind w:firstLine="10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Inyang,Justina Benson</w:t>
      </w:r>
    </w:p>
    <w:p>
      <w:pPr>
        <w:spacing w:before="28" w:after="0" w:line="335" w:lineRule="auto"/>
        <w:ind w:firstLine="12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Isau,Olatunji Ahmed</w:t>
      </w:r>
    </w:p>
    <w:p>
      <w:pPr>
        <w:spacing w:before="28" w:after="0" w:line="335" w:lineRule="auto"/>
        <w:ind w:firstLine="140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John,Viko Iyadah</w:t>
      </w:r>
    </w:p>
    <w:p>
      <w:pPr>
        <w:spacing w:before="48" w:after="0" w:line="335" w:lineRule="auto"/>
        <w:ind w:firstLine="11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Kasim,Jamila Metcho</w:t>
      </w:r>
    </w:p>
    <w:p>
      <w:pPr>
        <w:spacing w:before="68" w:after="0" w:line="335" w:lineRule="auto"/>
        <w:ind w:firstLine="136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Koki,Sani Ibrahim</w:t>
      </w:r>
    </w:p>
    <w:p>
      <w:pPr>
        <w:spacing w:before="48" w:after="0" w:line="335" w:lineRule="auto"/>
        <w:ind w:firstLine="9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Kura,Abubakar Balarabe</w:t>
      </w:r>
    </w:p>
    <w:p>
      <w:pPr>
        <w:spacing w:before="68" w:after="0" w:line="335" w:lineRule="auto"/>
        <w:ind w:firstLine="124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Lawal,Sabit Abosede</w:t>
      </w:r>
    </w:p>
    <w:p>
      <w:pPr>
        <w:spacing w:before="68" w:after="0" w:line="335" w:lineRule="auto"/>
        <w:ind w:firstLine="8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Magaji W.Owolabi,Kudirat</w:t>
      </w:r>
    </w:p>
    <w:p>
      <w:pPr>
        <w:spacing w:before="28" w:after="0" w:line="335" w:lineRule="auto"/>
        <w:ind w:firstLine="184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Nwazi,J.N.</w:t>
      </w:r>
    </w:p>
    <w:p>
      <w:pPr>
        <w:spacing w:before="68" w:after="0" w:line="335" w:lineRule="auto"/>
        <w:ind w:firstLine="118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Nweke,Ogochukwu C.</w:t>
      </w:r>
    </w:p>
    <w:p>
      <w:pPr>
        <w:spacing w:before="48" w:after="0" w:line="335" w:lineRule="auto"/>
        <w:ind w:firstLine="152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Nwosu,Okwudiri</w:t>
      </w:r>
    </w:p>
    <w:p>
      <w:pPr>
        <w:spacing w:before="88" w:after="0" w:line="335" w:lineRule="auto"/>
        <w:ind w:firstLine="840"/>
        <w:jc w:val="both"/>
        <w:rPr>
          <w:sz w:val="31"/>
        </w:rPr>
      </w:pPr>
      <w:r>
        <w:rPr>
          <w:rFonts w:hint="eastAsia" w:ascii="Calibri" w:hAnsi="Calibri" w:eastAsia="Calibri"/>
          <w:color w:val="000000"/>
          <w:sz w:val="31"/>
        </w:rPr>
        <w:t xml:space="preserve">Odinkonigbo,Jirinwayo Jude</w:t>
      </w:r>
    </w:p>
    <w:p>
      <w:pPr>
        <w:spacing w:before="8" w:after="0" w:line="335" w:lineRule="auto"/>
        <w:ind w:firstLine="1620"/>
        <w:jc w:val="both"/>
        <w:rPr>
          <w:sz w:val="31"/>
        </w:rPr>
        <w:sectPr>
          <w:headerReference w:type="default" r:id="Re26a5bc179024fe6"/>
          <w:footerReference w:type="default" r:id="R11b51208ab99475b"/>
          <w:type w:val="continuous"/>
          <w:pgSz w:w="11900" w:h="21960" w:orient="portrait"/>
          <w:pgMar w:top="960" w:right="2880" w:bottom="2400" w:left="2880" w:header="480" w:footer="1200"/>
          <w:cols w:equalWidth="true" w:num="1"/>
        </w:sectPr>
      </w:pPr>
      <w:r>
        <w:rPr>
          <w:rFonts w:hint="eastAsia" w:ascii="Calibri" w:hAnsi="Calibri" w:eastAsia="Calibri"/>
          <w:color w:val="000000"/>
          <w:sz w:val="31"/>
        </w:rPr>
        <w:t xml:space="preserve">Oyaleke,Bukola</w:t>
      </w:r>
    </w:p>
    <w:p>
      <w:pPr>
        <w:spacing w:before="0" w:after="0" w:line="220" w:lineRule="auto"/>
        <w:ind/>
        <w:jc w:val="center"/>
        <w:rPr>
          <w:sz w:val="47"/>
        </w:rPr>
      </w:pPr>
      <w:r>
        <w:rPr>
          <w:rFonts w:hint="eastAsia" w:ascii="Calibri" w:hAnsi="Calibri" w:eastAsia="Calibri"/>
          <w:b/>
          <w:color w:val="000000"/>
          <w:sz w:val="47"/>
        </w:rPr>
        <w:t xml:space="preserve">Shut,T.Dusu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30" w:lineRule="auto"/>
        <w:ind/>
        <w:jc w:val="center"/>
        <w:rPr>
          <w:sz w:val="47"/>
        </w:rPr>
      </w:pPr>
      <w:r>
        <w:rPr>
          <w:rFonts w:hint="eastAsia" w:ascii="Calibri" w:hAnsi="Calibri" w:eastAsia="Calibri"/>
          <w:b/>
          <w:color w:val="000000"/>
          <w:sz w:val="47"/>
        </w:rPr>
        <w:t xml:space="preserve">Sulaiman,Asmau Muhammad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30" w:lineRule="auto"/>
        <w:ind/>
        <w:jc w:val="center"/>
        <w:rPr>
          <w:sz w:val="47"/>
        </w:rPr>
      </w:pPr>
      <w:r>
        <w:rPr>
          <w:rFonts w:hint="eastAsia" w:ascii="Calibri" w:hAnsi="Calibri" w:eastAsia="Calibri"/>
          <w:b/>
          <w:color w:val="000000"/>
          <w:sz w:val="47"/>
        </w:rPr>
        <w:t xml:space="preserve">Umaru,Joel</w:t>
      </w:r>
      <w:r>
        <w:rPr>
          <w:rFonts w:hint="eastAsia" w:ascii="Calibri" w:hAnsi="Calibri" w:eastAsia="Calibri"/>
          <w:color w:val="000000"/>
          <w:sz w:val="47"/>
        </w:rPr>
        <w:t xml:space="preserve"> Drisu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20" w:lineRule="auto"/>
        <w:ind/>
        <w:jc w:val="center"/>
        <w:rPr>
          <w:sz w:val="47"/>
        </w:rPr>
        <w:sectPr>
          <w:headerReference w:type="default" r:id="R963b7997f87746eb"/>
          <w:footerReference w:type="default" r:id="R5f0e3faa8e5c432c"/>
          <w:type w:val="continuous"/>
          <w:pgSz w:w="11900" w:h="18380" w:orient="portrait"/>
          <w:pgMar w:top="720" w:right="2880" w:bottom="2880" w:left="2880" w:header="360" w:footer="1440"/>
          <w:cols w:equalWidth="true" w:num="1"/>
        </w:sectPr>
      </w:pPr>
      <w:r>
        <w:rPr>
          <w:rFonts w:hint="eastAsia" w:ascii="Calibri" w:hAnsi="Calibri" w:eastAsia="Calibri"/>
          <w:b/>
          <w:color w:val="000000"/>
          <w:sz w:val="47"/>
        </w:rPr>
        <w:t xml:space="preserve">Umoru </w:t>
      </w:r>
      <w:r>
        <w:rPr>
          <w:rFonts w:hint="eastAsia" w:ascii="Calibri" w:hAnsi="Calibri" w:eastAsia="Calibri"/>
          <w:color w:val="000000"/>
          <w:sz w:val="47"/>
        </w:rPr>
        <w:t xml:space="preserve">G.L.</w:t>
      </w:r>
    </w:p>
    <w:p>
      <w:pPr>
        <w:spacing w:before="20" w:after="0" w:line="287" w:lineRule="auto"/>
        <w:ind/>
        <w:jc w:val="center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TABLE OF CONTENTS</w:t>
      </w:r>
    </w:p>
    <w:p>
      <w:pPr>
        <w:spacing w:before="179" w:after="0" w:line="263" w:lineRule="auto"/>
        <w:ind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INSTRUCTION TO AUTHORS</w:t>
      </w:r>
    </w:p>
    <w:p>
      <w:pPr>
        <w:spacing w:before="176" w:after="0" w:line="263" w:lineRule="auto"/>
        <w:ind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EDITORIAL COMMENT</w:t>
      </w:r>
    </w:p>
    <w:p>
      <w:pPr>
        <w:spacing w:before="160" w:after="0" w:line="273" w:lineRule="auto"/>
        <w:ind w:firstLine="2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EDITORIAL BOARD/EDITORIAL ADVISORY COMMITTEE.</w:t>
      </w:r>
    </w:p>
    <w:p>
      <w:pPr>
        <w:spacing w:before="163" w:after="0" w:line="273" w:lineRule="auto"/>
        <w:ind w:firstLine="2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LIST OF CONTRIBUTORS</w:t>
      </w:r>
    </w:p>
    <w:p>
      <w:pPr>
        <w:spacing w:before="159" w:after="0" w:line="263" w:lineRule="auto"/>
        <w:ind w:firstLine="4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TABLE OF CONTENTS</w:t>
      </w:r>
    </w:p>
    <w:p>
      <w:pPr>
        <w:spacing w:before="0" w:after="0" w:line="384" w:lineRule="auto"/>
        <w:ind w:right="60"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THE CONCEPT OF OWNERSHIP AND QUANTUM OF INTEREST OWNED UNDER </w:t>
      </w:r>
      <w:r>
        <w:rPr>
          <w:rFonts w:hint="eastAsia" w:ascii="Calibri" w:hAnsi="Calibri" w:eastAsia="Calibri"/>
          <w:color w:val="000000"/>
          <w:sz w:val="27"/>
        </w:rPr>
        <w:t xml:space="preserve">LAND USE ACT</w:t>
      </w:r>
    </w:p>
    <w:p>
      <w:pPr>
        <w:spacing w:before="0" w:after="0" w:line="259" w:lineRule="auto"/>
        <w:ind w:firstLine="8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Abubakar Balarabe Kura</w:t>
      </w:r>
    </w:p>
    <w:p>
      <w:pPr>
        <w:spacing w:before="124" w:after="0" w:line="359" w:lineRule="auto"/>
        <w:ind w:firstLine="10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AN APPRAISAL OF WOMEN'S PROPERTY RIGHT IN NORTHERN NIGERIA</w:t>
      </w:r>
    </w:p>
    <w:p>
      <w:pPr>
        <w:spacing w:before="43" w:after="0" w:line="374" w:lineRule="auto"/>
        <w:ind w:firstLine="10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Jamila Metcho Kasim,Asmau Muhammad Sulaiman Ficmc and Amina MuhammadB</w:t>
      </w:r>
    </w:p>
    <w:p>
      <w:pPr>
        <w:spacing w:before="4" w:after="0" w:line="331" w:lineRule="auto"/>
        <w:ind w:firstLine="12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LAND LAWS AND WOMEN INHERITANCE RIGHTS IN NIGERIA</w:t>
      </w:r>
    </w:p>
    <w:p>
      <w:pPr>
        <w:spacing w:before="79" w:after="0" w:line="263" w:lineRule="auto"/>
        <w:ind w:firstLine="12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Inyang,Justina Benson</w:t>
      </w:r>
    </w:p>
    <w:p>
      <w:pPr>
        <w:spacing w:before="140" w:after="0" w:line="331" w:lineRule="auto"/>
        <w:ind w:firstLine="14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TAXATION OF OUTBOUND TRANSACTIONS IN NIGERIA</w:t>
      </w:r>
    </w:p>
    <w:p>
      <w:pPr>
        <w:spacing w:before="63" w:after="0" w:line="359" w:lineRule="auto"/>
        <w:ind w:firstLine="14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Sabit Abosede Lawal,PhD,Muhammed Taofeeq Abdulrazaq, PhD, SAN</w:t>
      </w:r>
    </w:p>
    <w:p>
      <w:pPr>
        <w:spacing w:before="0" w:after="0" w:line="249" w:lineRule="auto"/>
        <w:ind w:left="140" w:right="20"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THE NIGERIA'S MINISTER OF FINANCE AND THE POWER TO AMEND THE SCHED </w:t>
      </w:r>
      <w:r>
        <w:rPr>
          <w:rFonts w:hint="eastAsia" w:ascii="Calibri" w:hAnsi="Calibri" w:eastAsia="Calibri"/>
          <w:color w:val="000000"/>
          <w:sz w:val="27"/>
        </w:rPr>
        <w:t xml:space="preserve">TO THE VALUE ADDED TAX AC</w:t>
      </w:r>
    </w:p>
    <w:p>
      <w:pPr>
        <w:spacing w:before="156" w:after="0" w:line="273" w:lineRule="auto"/>
        <w:ind w:firstLine="16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Jirinwayo Jude Odinkonigbo</w:t>
      </w:r>
    </w:p>
    <w:p>
      <w:pPr>
        <w:spacing w:before="103" w:after="0" w:line="384" w:lineRule="auto"/>
        <w:ind w:firstLine="16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A LEGAL AND SOCIO-CULTURAL ANALYSIS OF THE RELATIONSHIP BETH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30" w:lineRule="auto"/>
        <w:ind w:firstLine="18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Oyesola Animashaun,PhD</w:t>
      </w:r>
    </w:p>
    <w:p>
      <w:pPr>
        <w:spacing w:before="114" w:after="0" w:line="331" w:lineRule="auto"/>
        <w:ind w:left="160" w:right="80"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MAJOR MILESTONES IN SOUTH AFRICAN UNFAIR TRADE;REGULATION </w:t>
      </w:r>
      <w:r>
        <w:rPr>
          <w:rFonts w:hint="eastAsia" w:ascii="Calibri" w:hAnsi="Calibri" w:eastAsia="Calibri"/>
          <w:color w:val="000000"/>
          <w:sz w:val="27"/>
        </w:rPr>
        <w:t xml:space="preserve">INSTITUTIONAL FRAMEWORKS: LESSONS FOR NIGERIA</w:t>
      </w:r>
    </w:p>
    <w:p>
      <w:pPr>
        <w:spacing w:before="0" w:after="0" w:line="230" w:lineRule="auto"/>
        <w:ind w:firstLine="18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Sani Ibrahim Koki,PhD</w:t>
      </w:r>
    </w:p>
    <w:p>
      <w:pPr>
        <w:spacing w:before="69" w:after="0" w:line="384" w:lineRule="auto"/>
        <w:ind w:firstLine="16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TAX AVOIDANCE:A FINE LINE BETWEEN LEGALITY AND ILLEGALITY</w:t>
      </w:r>
    </w:p>
    <w:p>
      <w:pPr>
        <w:spacing w:before="0" w:after="0" w:line="201" w:lineRule="auto"/>
        <w:ind w:firstLine="20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Isau Olatunji Ahmed,PhD</w:t>
      </w:r>
    </w:p>
    <w:p>
      <w:pPr>
        <w:spacing w:before="27" w:after="0" w:line="307" w:lineRule="auto"/>
        <w:ind w:left="160" w:right="20" w:firstLine="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THE LEGAL EFFECT OF THE DIGITISATION OF TAX PAYMENTFOR ECONO </w:t>
      </w:r>
      <w:r>
        <w:rPr>
          <w:rFonts w:hint="eastAsia" w:ascii="Calibri" w:hAnsi="Calibri" w:eastAsia="Calibri"/>
          <w:color w:val="000000"/>
          <w:sz w:val="27"/>
        </w:rPr>
        <w:t xml:space="preserve">DEVELOPMENT IN NIGERIA</w:t>
      </w:r>
    </w:p>
    <w:p>
      <w:pPr>
        <w:spacing w:before="13" w:after="0" w:line="384" w:lineRule="auto"/>
        <w:ind w:firstLine="180"/>
        <w:jc w:val="both"/>
        <w:rPr>
          <w:sz w:val="27"/>
        </w:rPr>
      </w:pPr>
      <w:r>
        <w:rPr>
          <w:rFonts w:hint="eastAsia" w:ascii="Calibri" w:hAnsi="Calibri" w:eastAsia="Calibri"/>
          <w:b/>
          <w:color w:val="000000"/>
          <w:sz w:val="27"/>
        </w:rPr>
        <w:t xml:space="preserve">Selome Oluwaseun,Ashimi,Mujidat Subair-Bakare</w:t>
      </w:r>
    </w:p>
    <w:p>
      <w:pPr>
        <w:spacing w:before="4" w:after="0" w:line="307" w:lineRule="auto"/>
        <w:ind w:left="180" w:right="20" w:firstLine="4620"/>
        <w:jc w:val="both"/>
        <w:rPr>
          <w:sz w:val="27"/>
        </w:rPr>
      </w:pPr>
      <w:r>
        <w:rPr>
          <w:rFonts w:hint="eastAsia" w:ascii="Calibri" w:hAnsi="Calibri" w:eastAsia="Calibri"/>
          <w:color w:val="000000"/>
          <w:sz w:val="27"/>
        </w:rPr>
        <w:t xml:space="preserve">INTRODUCEDBYREVENUEAUTHORITIES </w:t>
      </w:r>
      <w:r>
        <w:rPr>
          <w:rFonts w:hint="eastAsia" w:ascii="Calibri" w:hAnsi="Calibri" w:eastAsia="Calibri"/>
          <w:color w:val="000000"/>
          <w:sz w:val="27"/>
        </w:rPr>
        <w:t xml:space="preserve">NIGERIA DURING THE COVID-19 PANDEMIC</w:t>
      </w:r>
    </w:p>
    <w:p>
      <w:pPr>
        <w:spacing w:before="0" w:after="0" w:line="230" w:lineRule="auto"/>
        <w:ind w:firstLine="240"/>
        <w:jc w:val="both"/>
        <w:rPr>
          <w:sz w:val="27"/>
        </w:rPr>
        <w:sectPr>
          <w:headerReference w:type="default" r:id="R6a74dc8b7e914eb8"/>
          <w:footerReference w:type="default" r:id="Ra3de0ecf95584090"/>
          <w:type w:val="continuous"/>
          <w:pgSz w:w="11900" w:h="20320" w:orient="portrait"/>
          <w:pgMar w:top="1200" w:right="720" w:bottom="2640" w:left="720" w:header="600" w:footer="1320"/>
          <w:cols w:equalWidth="true" w:num="1"/>
        </w:sectPr>
      </w:pPr>
      <w:r>
        <w:rPr>
          <w:rFonts w:hint="eastAsia" w:ascii="Calibri" w:hAnsi="Calibri" w:eastAsia="Calibri"/>
          <w:b/>
          <w:color w:val="000000"/>
          <w:sz w:val="27"/>
        </w:rPr>
        <w:t xml:space="preserve">Olariyike Damola Akintoye PhD</w:t>
      </w:r>
    </w:p>
    <w:p>
      <w:pPr>
        <w:spacing w:before="20" w:after="0" w:line="254" w:lineRule="auto"/>
        <w:ind w:left="260" w:right="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PROSPECTS AND CHALLENGES OF ADOPTION OF ARBITRATION IN </w:t>
      </w:r>
      <w:r>
        <w:rPr>
          <w:rFonts w:hint="eastAsia" w:ascii="Calibri" w:hAnsi="Calibri" w:eastAsia="Calibri"/>
          <w:color w:val="000000"/>
          <w:sz w:val="25"/>
        </w:rPr>
        <w:t xml:space="preserve">SETTLEMENT OF TAX DISPUTES IN NIGERIA              163</w:t>
      </w:r>
    </w:p>
    <w:p>
      <w:pPr>
        <w:spacing w:before="130" w:after="0" w:line="263" w:lineRule="auto"/>
        <w:ind w:firstLine="2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Adeojo Ifedamola Blessing</w:t>
      </w:r>
    </w:p>
    <w:p>
      <w:pPr>
        <w:spacing w:before="103" w:after="0" w:line="292" w:lineRule="auto"/>
        <w:ind w:firstLine="2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THEORETICAL BACKGROUND OF CORPORATE GOVERANCE IN NIGERIA       177</w:t>
      </w:r>
    </w:p>
    <w:p>
      <w:pPr>
        <w:spacing w:before="106" w:after="0" w:line="292" w:lineRule="auto"/>
        <w:ind w:firstLine="24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Adelowo Stephen Asonibare, G.L Umoru &amp; J.N Nwazi</w:t>
      </w:r>
    </w:p>
    <w:p>
      <w:pPr>
        <w:spacing w:before="66" w:after="0" w:line="263" w:lineRule="auto"/>
        <w:ind w:left="200" w:right="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EFFICACY OF ONLINE DISPUTE RESOLUTION (ODR) FOR THE RESOLUTION OF </w:t>
      </w:r>
      <w:r>
        <w:rPr>
          <w:rFonts w:hint="eastAsia" w:ascii="Calibri" w:hAnsi="Calibri" w:eastAsia="Calibri"/>
          <w:color w:val="000000"/>
          <w:sz w:val="25"/>
        </w:rPr>
        <w:t xml:space="preserve">INTERNET-RELATED DISPUTES IN NIGERIA              198</w:t>
      </w:r>
    </w:p>
    <w:p>
      <w:pPr>
        <w:spacing w:before="86" w:after="0" w:line="292" w:lineRule="auto"/>
        <w:ind w:firstLine="20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Kudirat Magaji W. Owolabi,Ph.D</w:t>
      </w:r>
    </w:p>
    <w:p>
      <w:pPr>
        <w:spacing w:before="66" w:after="0" w:line="340" w:lineRule="auto"/>
        <w:ind w:firstLine="18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GAINS OF ARBITRATION OVER LITIGATION:A REALITY OR A HOAX?      212</w:t>
      </w:r>
    </w:p>
    <w:p>
      <w:pPr>
        <w:spacing w:before="45" w:after="0" w:line="292" w:lineRule="auto"/>
        <w:ind w:firstLine="1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Enemhinje Ehigiator,PhD</w:t>
      </w:r>
    </w:p>
    <w:p>
      <w:pPr>
        <w:spacing w:before="86" w:after="0" w:line="326" w:lineRule="auto"/>
        <w:ind w:firstLine="1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AN OVERVIEW OF PRIVITY OF ARBITRATION CONTRACT        227</w:t>
      </w:r>
    </w:p>
    <w:p>
      <w:pPr>
        <w:spacing w:before="63" w:after="0" w:line="340" w:lineRule="auto"/>
        <w:ind w:firstLine="1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Dr.Agbo Friday Ojonugwa,Dr.Daniel Philemon Saredau</w:t>
      </w:r>
    </w:p>
    <w:p>
      <w:pPr>
        <w:spacing w:before="25" w:after="0" w:line="278" w:lineRule="auto"/>
        <w:ind w:left="160" w:right="8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ENFORCEMENT OF ALTERNATIVE DISPUTE RESOLUTION CLAUSES AND ARBITRAL </w:t>
      </w:r>
      <w:r>
        <w:rPr>
          <w:rFonts w:hint="eastAsia" w:ascii="Calibri" w:hAnsi="Calibri" w:eastAsia="Calibri"/>
          <w:color w:val="000000"/>
          <w:sz w:val="25"/>
        </w:rPr>
        <w:t xml:space="preserve">AWARDS UNDER THE ARBITRATION AND CONCILLIATION ACT 2023    237</w:t>
      </w:r>
    </w:p>
    <w:p>
      <w:pPr>
        <w:spacing w:before="69" w:after="0" w:line="312" w:lineRule="auto"/>
        <w:ind w:firstLine="14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Yebo S.Dabup,Dusu T.Shut, Truth R. Biangten</w:t>
      </w:r>
    </w:p>
    <w:p>
      <w:pPr>
        <w:spacing w:before="61" w:after="0" w:line="254" w:lineRule="auto"/>
        <w:ind w:left="140" w:right="1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ADEQUACY OF NIGERIAN LAW IN FOSTERING INDUSTRIAL PEACE THROUGH </w:t>
      </w:r>
      <w:r>
        <w:rPr>
          <w:rFonts w:hint="eastAsia" w:ascii="Calibri" w:hAnsi="Calibri" w:eastAsia="Calibri"/>
          <w:color w:val="000000"/>
          <w:sz w:val="25"/>
        </w:rPr>
        <w:t xml:space="preserve">COLLECTIVE BARGAINING                     251</w:t>
      </w:r>
    </w:p>
    <w:p>
      <w:pPr>
        <w:spacing w:before="130" w:after="0" w:line="263" w:lineRule="auto"/>
        <w:ind w:firstLine="1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Oyesola</w:t>
      </w:r>
      <w:r>
        <w:rPr>
          <w:rFonts w:hint="eastAsia" w:ascii="Calibri" w:hAnsi="Calibri" w:eastAsia="Calibri"/>
          <w:b/>
          <w:color w:val="000000"/>
          <w:sz w:val="25"/>
        </w:rPr>
        <w:t xml:space="preserve"> Animashaun,PhD</w:t>
      </w:r>
    </w:p>
    <w:p>
      <w:pPr>
        <w:spacing w:before="123" w:after="0" w:line="249" w:lineRule="auto"/>
        <w:ind w:left="120" w:right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 CRITICAL ANALYSIS OF TRADE-BASED MONEY LAUNDERING ACTIVITIES IN </w:t>
      </w:r>
      <w:r>
        <w:rPr>
          <w:rFonts w:hint="eastAsia" w:ascii="Calibri" w:hAnsi="Calibri" w:eastAsia="Calibri"/>
          <w:color w:val="000000"/>
          <w:sz w:val="25"/>
        </w:rPr>
        <w:t xml:space="preserve">NIGERIA                              268</w:t>
      </w:r>
    </w:p>
    <w:p>
      <w:pPr>
        <w:spacing w:before="143" w:after="0" w:line="230" w:lineRule="auto"/>
        <w:ind w:firstLine="12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Bukola Oyaleke</w:t>
      </w:r>
    </w:p>
    <w:p>
      <w:pPr>
        <w:spacing w:before="146" w:after="0" w:line="254" w:lineRule="auto"/>
        <w:ind w:left="80" w:right="1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 CRITICAL ANALYSIS OF CONSENT UNDER POSTHUMOUS CONCEPTION:</w:t>
      </w:r>
      <w:r>
        <w:rPr>
          <w:rFonts w:hint="eastAsia" w:ascii="Calibri" w:hAnsi="Calibri" w:eastAsia="Calibri"/>
          <w:color w:val="000000"/>
          <w:sz w:val="25"/>
        </w:rPr>
        <w:t xml:space="preserve">COMPARATIVE LEGAL AND INSTITUTIONAL LESSONS FOR NIGERIA    281</w:t>
      </w:r>
    </w:p>
    <w:p>
      <w:pPr>
        <w:spacing w:before="150" w:after="0" w:line="215" w:lineRule="auto"/>
        <w:ind w:firstLine="8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Joel Drisu Umaru</w:t>
      </w:r>
    </w:p>
    <w:p>
      <w:pPr>
        <w:spacing w:before="144" w:after="0" w:line="273" w:lineRule="auto"/>
        <w:ind w:left="60" w:right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ANALYSIS OF THE JURISDICTION AND INHERENT CHALLENGES OF THE FEDERAL </w:t>
      </w:r>
      <w:r>
        <w:rPr>
          <w:rFonts w:hint="eastAsia" w:ascii="Calibri" w:hAnsi="Calibri" w:eastAsia="Calibri"/>
          <w:color w:val="000000"/>
          <w:sz w:val="25"/>
        </w:rPr>
        <w:t xml:space="preserve">HIGH COURT IN NIGERIA                      293</w:t>
      </w:r>
    </w:p>
    <w:p>
      <w:pPr>
        <w:spacing w:before="101" w:after="0" w:line="263" w:lineRule="auto"/>
        <w:ind w:firstLine="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Ogochukwu C.Nweke,Okwudiri Nwosu</w:t>
      </w:r>
    </w:p>
    <w:p>
      <w:pPr>
        <w:spacing w:before="103" w:after="0" w:line="278" w:lineRule="auto"/>
        <w:ind w:left="40" w:right="1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ADMISSIBILITY AND IMPORTANCE OF FINGERPRINT EVIDENCE AS A SOURCE OF </w:t>
      </w:r>
      <w:r>
        <w:rPr>
          <w:rFonts w:hint="eastAsia" w:ascii="Calibri" w:hAnsi="Calibri" w:eastAsia="Calibri"/>
          <w:color w:val="000000"/>
          <w:sz w:val="25"/>
        </w:rPr>
        <w:t xml:space="preserve">ELECTRONIC EVIDENCE                      308</w:t>
      </w:r>
    </w:p>
    <w:p>
      <w:pPr>
        <w:spacing w:before="129" w:after="0" w:line="215" w:lineRule="auto"/>
        <w:ind w:firstLine="4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Elijah Oluwakorede Adeyeye</w:t>
      </w:r>
    </w:p>
    <w:p>
      <w:pPr>
        <w:spacing w:before="124" w:after="0" w:line="302" w:lineRule="auto"/>
        <w:ind w:left="20" w:right="1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EFFECT OF INTERNAL DISPLACEMENT ON THE ECONOMY AND THE </w:t>
      </w:r>
      <w:r>
        <w:rPr>
          <w:rFonts w:hint="eastAsia" w:ascii="Calibri" w:hAnsi="Calibri" w:eastAsia="Calibri"/>
          <w:color w:val="000000"/>
          <w:sz w:val="25"/>
        </w:rPr>
        <w:t xml:space="preserve">MITIGATING IMPACT OF INTERNATIONAL HUMANITARIAN LAW IN NIGERIA325</w:t>
      </w:r>
    </w:p>
    <w:p>
      <w:pPr>
        <w:spacing w:before="68" w:after="0" w:line="263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Baraje Biliqis Abdulkadir, PhD, AbdulkareemAdemola Mashood</w:t>
      </w:r>
    </w:p>
    <w:p>
      <w:pPr>
        <w:spacing w:before="83" w:after="0" w:line="302" w:lineRule="auto"/>
        <w:ind w:left="20" w:right="1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ANALYSIS OF THE LEGAL FRAMEWORK FOR ALTERNATIVE SOURCES OF ENERGY </w:t>
      </w:r>
      <w:r>
        <w:rPr>
          <w:rFonts w:hint="eastAsia" w:ascii="Calibri" w:hAnsi="Calibri" w:eastAsia="Calibri"/>
          <w:color w:val="000000"/>
          <w:sz w:val="25"/>
        </w:rPr>
        <w:t xml:space="preserve">IN NIGERIA </w:t>
      </w:r>
      <w:r>
        <w:rPr>
          <w:rFonts w:hint="eastAsia" w:ascii="Calibri" w:hAnsi="Calibri" w:eastAsia="Calibri"/>
          <w:color w:val="000000"/>
          <w:sz w:val="25"/>
        </w:rPr>
        <w:t xml:space="preserve">340</w:t>
      </w:r>
    </w:p>
    <w:p>
      <w:pPr>
        <w:spacing w:before="28" w:after="0" w:line="374" w:lineRule="auto"/>
        <w:ind w:firstLine="0"/>
        <w:jc w:val="both"/>
        <w:rPr>
          <w:sz w:val="25"/>
        </w:rPr>
        <w:sectPr>
          <w:headerReference w:type="default" r:id="R24e8aff5061948fa"/>
          <w:footerReference w:type="default" r:id="R1e8c2f6996f34110"/>
          <w:type w:val="continuous"/>
          <w:pgSz w:w="11900" w:h="1862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Viko,Iyadah</w:t>
      </w:r>
      <w:r>
        <w:rPr>
          <w:rFonts w:hint="eastAsia" w:ascii="Calibri" w:hAnsi="Calibri" w:eastAsia="Calibri"/>
          <w:b/>
          <w:color w:val="000000"/>
          <w:sz w:val="25"/>
        </w:rPr>
        <w:t xml:space="preserve"> John,PhD,Ifurueze,Amarachi Mariana, Chukwuemeka, Israel Dinne</w:t>
      </w:r>
    </w:p>
    <w:p>
      <w:pPr>
        <w:spacing w:before="0" w:after="0" w:line="235" w:lineRule="auto"/>
        <w:ind w:left="240" w:right="460" w:firstLine="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Tax Collecting Strategies Introduced by Revenue Authorities in Nigeria During the Covid-</w:t>
      </w:r>
      <w:r>
        <w:rPr>
          <w:rFonts w:hint="eastAsia" w:ascii="Calibri" w:hAnsi="Calibri" w:eastAsia="Calibri"/>
          <w:b/>
          <w:color w:val="000000"/>
          <w:sz w:val="25"/>
        </w:rPr>
        <w:t xml:space="preserve">19 Pandemic</w:t>
      </w:r>
    </w:p>
    <w:p>
      <w:pPr>
        <w:spacing w:before="51" w:after="0" w:line="336" w:lineRule="auto"/>
        <w:ind w:firstLine="3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Olariyike Damola Akintoye*</w:t>
      </w:r>
    </w:p>
    <w:p>
      <w:pPr>
        <w:spacing w:before="0" w:after="0" w:line="215" w:lineRule="auto"/>
        <w:ind w:firstLine="2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Abstract</w:t>
      </w:r>
    </w:p>
    <w:p>
      <w:pPr>
        <w:spacing w:before="0" w:after="0" w:line="326" w:lineRule="auto"/>
        <w:ind w:right="80" w:firstLine="220"/>
        <w:jc w:val="both"/>
        <w:rPr>
          <w:sz w:val="25"/>
        </w:rPr>
      </w:pPr>
      <w:r>
        <w:rPr>
          <w:rFonts w:hint="eastAsia" w:ascii="Calibri" w:hAnsi="Calibri" w:eastAsia="Calibri"/>
          <w:i/>
          <w:color w:val="000000"/>
          <w:sz w:val="25"/>
        </w:rPr>
        <w:t xml:space="preserve">Despite its negative impact on global economies, the Covid-19 Pandemic also brought about the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opportunity for companies,financial institutions and businessmen and women to re-think and look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for new strategies to continue to do their businesses. Therefore,even though the Covid-19</w:t>
      </w:r>
      <w:r>
        <w:rPr>
          <w:rFonts w:hint="eastAsia" w:ascii="Calibri" w:hAnsi="Calibri" w:eastAsia="Calibri"/>
          <w:i/>
          <w:color w:val="000000"/>
          <w:sz w:val="25"/>
        </w:rPr>
        <w:t xml:space="preserve">Pandemic adversely affected most economies of the world, it also brought about changes to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business practices globally as new ideas were introduced. Some of these innovations are the use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of technology and artificial intelligence. Tax authorities in Nigeria are not left behind as they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introduced some innovations/incentives in the way they carry out their functions, some of which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are, the introduction ofan online platform for the payment of tax and the filing of tax documents,</w:t>
      </w:r>
      <w:r>
        <w:rPr>
          <w:rFonts w:hint="eastAsia" w:ascii="Calibri" w:hAnsi="Calibri" w:eastAsia="Calibri"/>
          <w:i/>
          <w:color w:val="000000"/>
          <w:sz w:val="25"/>
        </w:rPr>
        <w:t xml:space="preserve">extension of time and waivers for some categories of taxpayers by the Federal and State tax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authorities. The paper used the Federal Inland Revenue Service,the Lagos State Internal Revenue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Service and the Kwara State Internal Revenue Service as case study. The paper aims to examine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how tax authorities can effectively continue their business activities when faced with a similar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public emergency like the Covid-19 Pandemic. The paper attempts to answer some questions which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are; what are the innovations, in terms of incentives and strategies introduced by revenue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authorities during and after the pandemic in Nigeria; What are the good corporate governance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measures or practices that must be adhered to while re-thinking revenue generation: The research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method used in carrying out this work is doctrinal in nature as recourse was made to primary and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secondary sources of gathering information. The paper finds out that even though revenue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authorities in Nigeria did not do too badly during the Pandemic, they can still perform better given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similar situations or circumstances. The paper, therefore, comes up with recommendations on how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revenue generation can be enhanced, borrowing a leaffrom other advanced countries. The paper,</w:t>
      </w:r>
      <w:r>
        <w:rPr>
          <w:rFonts w:hint="eastAsia" w:ascii="Calibri" w:hAnsi="Calibri" w:eastAsia="Calibri"/>
          <w:i/>
          <w:color w:val="000000"/>
          <w:sz w:val="25"/>
        </w:rPr>
        <w:t xml:space="preserve">however, concludes that nothing should be done to compromise good corporate governance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practices in a bid to generate more revenue.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56" w:after="0" w:line="336" w:lineRule="auto"/>
        <w:ind w:left="1860" w:right="60" w:hanging="1860" w:firstLine="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KEY WORDS</w:t>
      </w:r>
      <w:r>
        <w:rPr>
          <w:rFonts w:hint="eastAsia" w:ascii="Calibri" w:hAnsi="Calibri" w:eastAsia="Calibri"/>
          <w:color w:val="000000"/>
          <w:sz w:val="25"/>
        </w:rPr>
        <w:t xml:space="preserve">: Covid-19 Pandemic; new tax collection strategies; revenue agencies in Nigeria,</w:t>
      </w:r>
      <w:r>
        <w:rPr>
          <w:rFonts w:hint="eastAsia" w:ascii="Calibri" w:hAnsi="Calibri" w:eastAsia="Calibri"/>
          <w:color w:val="000000"/>
          <w:sz w:val="25"/>
        </w:rPr>
        <w:t xml:space="preserve">Good Corporate Governance Practices.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30" w:after="0" w:line="374" w:lineRule="auto"/>
        <w:ind w:right="40" w:firstLine="0"/>
        <w:jc w:val="both"/>
        <w:rPr>
          <w:sz w:val="25"/>
        </w:rPr>
        <w:sectPr>
          <w:headerReference w:type="default" r:id="R8cbe794b80054f80"/>
          <w:footerReference w:type="default" r:id="Rd9b6452a49814662"/>
          <w:type w:val="continuous"/>
          <w:pgSz w:w="11900" w:h="18120" w:orient="portrait"/>
          <w:pgMar w:top="1440" w:right="720" w:bottom="1680" w:left="720" w:header="72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*LL.B.,BL.,LLM.,PhD.Senior Lecturer Faculty of Law Kwara State University, Malate,</w:t>
      </w:r>
      <w:r>
        <w:rPr>
          <w:rFonts w:hint="eastAsia" w:ascii="Calibri" w:hAnsi="Calibri" w:eastAsia="Calibri"/>
          <w:color w:val="000000"/>
          <w:sz w:val="25"/>
        </w:rPr>
        <w:t xml:space="preserve">Department of Business and Private Law. Phone No:08055830014</w:t>
      </w:r>
    </w:p>
    <w:p>
      <w:pPr>
        <w:spacing w:before="0" w:after="0" w:line="273" w:lineRule="auto"/>
        <w:ind w:firstLine="36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1.0 Introduction</w:t>
      </w:r>
    </w:p>
    <w:p>
      <w:pPr>
        <w:spacing w:before="104" w:after="0" w:line="340" w:lineRule="auto"/>
        <w:ind w:left="240" w:right="260" w:firstLine="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Covid-19 Pandemic made those in business rethink and to come up with new ideas and </w:t>
      </w:r>
      <w:r>
        <w:rPr>
          <w:rFonts w:hint="eastAsia" w:ascii="Calibri" w:hAnsi="Calibri" w:eastAsia="Calibri"/>
          <w:color w:val="000000"/>
          <w:sz w:val="24"/>
        </w:rPr>
        <w:t xml:space="preserve">methods on how best to carry out their businesses so that it does not grind to a halt. Covid-19</w:t>
      </w:r>
      <w:r>
        <w:rPr>
          <w:rFonts w:hint="eastAsia" w:ascii="Calibri" w:hAnsi="Calibri" w:eastAsia="Calibri"/>
          <w:color w:val="000000"/>
          <w:sz w:val="24"/>
        </w:rPr>
        <w:t xml:space="preserve">brought changes to business practices globally, and many agencies and companies, financial </w:t>
      </w:r>
      <w:r>
        <w:rPr>
          <w:rFonts w:hint="eastAsia" w:ascii="Calibri" w:hAnsi="Calibri" w:eastAsia="Calibri"/>
          <w:color w:val="000000"/>
          <w:sz w:val="24"/>
        </w:rPr>
        <w:t xml:space="preserve">institutions, and businessmen no longer do business as they used to before the Pandemic.</w:t>
      </w:r>
      <w:r>
        <w:rPr>
          <w:rFonts w:hint="eastAsia" w:ascii="Calibri" w:hAnsi="Calibri" w:eastAsia="Calibri"/>
          <w:color w:val="00FF00"/>
          <w:sz w:val="24"/>
        </w:rPr>
        <w:t xml:space="preserve"> </w:t>
      </w:r>
      <w:r>
        <w:rPr>
          <w:rFonts w:hint="eastAsia" w:ascii="Calibri" w:hAnsi="Calibri" w:eastAsia="Calibri"/>
          <w:color w:val="000000"/>
          <w:sz w:val="24"/>
        </w:rPr>
        <w:t xml:space="preserve">For </w:t>
      </w:r>
      <w:r>
        <w:rPr>
          <w:rFonts w:hint="eastAsia" w:ascii="Calibri" w:hAnsi="Calibri" w:eastAsia="Calibri"/>
          <w:color w:val="000000"/>
          <w:sz w:val="24"/>
        </w:rPr>
        <w:t xml:space="preserve">instance,tax authorities both at the Federal and State levels in Nigeria introduced some innovations </w:t>
      </w:r>
      <w:r>
        <w:rPr>
          <w:rFonts w:hint="eastAsia" w:ascii="Calibri" w:hAnsi="Calibri" w:eastAsia="Calibri"/>
          <w:color w:val="000000"/>
          <w:sz w:val="24"/>
        </w:rPr>
        <w:t xml:space="preserve">in the way they carry out their functions. One can therefore say that the pandemic positively </w:t>
      </w:r>
      <w:r>
        <w:rPr>
          <w:rFonts w:hint="eastAsia" w:ascii="Calibri" w:hAnsi="Calibri" w:eastAsia="Calibri"/>
          <w:color w:val="000000"/>
          <w:sz w:val="24"/>
        </w:rPr>
        <w:t xml:space="preserve">impacted the economy because it brought the opportunity to think out of the box in its wake. For </w:t>
      </w:r>
      <w:r>
        <w:rPr>
          <w:rFonts w:hint="eastAsia" w:ascii="Calibri" w:hAnsi="Calibri" w:eastAsia="Calibri"/>
          <w:color w:val="000000"/>
          <w:sz w:val="24"/>
        </w:rPr>
        <w:t xml:space="preserve">instance, it introduced innovative tax collection strategies such as online platform for payment and </w:t>
      </w:r>
      <w:r>
        <w:rPr>
          <w:rFonts w:hint="eastAsia" w:ascii="Calibri" w:hAnsi="Calibri" w:eastAsia="Calibri"/>
          <w:color w:val="000000"/>
          <w:sz w:val="24"/>
        </w:rPr>
        <w:t xml:space="preserve">filing of tax documents, </w:t>
      </w:r>
      <w:r>
        <w:rPr>
          <w:rFonts w:hint="eastAsia" w:ascii="Calibri" w:hAnsi="Calibri" w:eastAsia="Calibri"/>
          <w:color w:val="00FF00"/>
          <w:sz w:val="24"/>
        </w:rPr>
        <w:t xml:space="preserve">i</w:t>
      </w:r>
      <w:r>
        <w:rPr>
          <w:rFonts w:hint="eastAsia" w:ascii="Calibri" w:hAnsi="Calibri" w:eastAsia="Calibri"/>
          <w:color w:val="000000"/>
          <w:sz w:val="24"/>
        </w:rPr>
        <w:t xml:space="preserve">mport duties waiver fo</w:t>
      </w:r>
      <w:r>
        <w:rPr>
          <w:rFonts w:hint="eastAsia" w:ascii="Calibri" w:hAnsi="Calibri" w:eastAsia="Calibri"/>
          <w:color w:val="00FF00"/>
          <w:sz w:val="24"/>
        </w:rPr>
        <w:t xml:space="preserve">r</w:t>
      </w:r>
      <w:r>
        <w:rPr>
          <w:rFonts w:hint="eastAsia" w:ascii="Calibri" w:hAnsi="Calibri" w:eastAsia="Calibri"/>
          <w:color w:val="000000"/>
          <w:sz w:val="24"/>
        </w:rPr>
        <w:t xml:space="preserve"> </w:t>
      </w:r>
      <w:r>
        <w:rPr>
          <w:rFonts w:hint="eastAsia" w:ascii="Calibri" w:hAnsi="Calibri" w:eastAsia="Calibri"/>
          <w:color w:val="00FF00"/>
          <w:sz w:val="24"/>
        </w:rPr>
        <w:t xml:space="preserve">certa</w:t>
      </w:r>
      <w:r>
        <w:rPr>
          <w:rFonts w:hint="eastAsia" w:ascii="Calibri" w:hAnsi="Calibri" w:eastAsia="Calibri"/>
          <w:color w:val="000000"/>
          <w:sz w:val="24"/>
        </w:rPr>
        <w:t xml:space="preserve">in commo</w:t>
      </w:r>
      <w:r>
        <w:rPr>
          <w:rFonts w:hint="eastAsia" w:ascii="Calibri" w:hAnsi="Calibri" w:eastAsia="Calibri"/>
          <w:color w:val="00FF00"/>
          <w:sz w:val="24"/>
        </w:rPr>
        <w:t xml:space="preserve">di</w:t>
      </w:r>
      <w:r>
        <w:rPr>
          <w:rFonts w:hint="eastAsia" w:ascii="Calibri" w:hAnsi="Calibri" w:eastAsia="Calibri"/>
          <w:color w:val="000000"/>
          <w:sz w:val="24"/>
        </w:rPr>
        <w:t xml:space="preserve">t</w:t>
      </w:r>
      <w:r>
        <w:rPr>
          <w:rFonts w:hint="eastAsia" w:ascii="Calibri" w:hAnsi="Calibri" w:eastAsia="Calibri"/>
          <w:color w:val="00FF00"/>
          <w:sz w:val="24"/>
        </w:rPr>
        <w:t xml:space="preserve">ie</w:t>
      </w:r>
      <w:r>
        <w:rPr>
          <w:rFonts w:hint="eastAsia" w:ascii="Calibri" w:hAnsi="Calibri" w:eastAsia="Calibri"/>
          <w:color w:val="000000"/>
          <w:sz w:val="24"/>
        </w:rPr>
        <w:t xml:space="preserve">s and some other </w:t>
      </w:r>
      <w:r>
        <w:rPr>
          <w:rFonts w:hint="eastAsia" w:ascii="Calibri" w:hAnsi="Calibri" w:eastAsia="Calibri"/>
          <w:color w:val="00FF00"/>
          <w:sz w:val="24"/>
        </w:rPr>
        <w:t xml:space="preserve">ta</w:t>
      </w:r>
      <w:r>
        <w:rPr>
          <w:rFonts w:hint="eastAsia" w:ascii="Calibri" w:hAnsi="Calibri" w:eastAsia="Calibri"/>
          <w:color w:val="000000"/>
          <w:sz w:val="24"/>
        </w:rPr>
        <w:t xml:space="preserve">x </w:t>
      </w:r>
      <w:r>
        <w:rPr>
          <w:rFonts w:hint="eastAsia" w:ascii="Calibri" w:hAnsi="Calibri" w:eastAsia="Calibri"/>
          <w:color w:val="000000"/>
          <w:sz w:val="24"/>
        </w:rPr>
        <w:t xml:space="preserve">incentives.</w:t>
      </w:r>
    </w:p>
    <w:p>
      <w:pPr>
        <w:spacing w:before="0" w:after="0" w:line="316" w:lineRule="auto"/>
        <w:ind w:left="80" w:right="420" w:firstLine="1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paper aims to examine new strategies or incentives introduced by revenue agencies in Nigeria </w:t>
      </w:r>
      <w:r>
        <w:rPr>
          <w:rFonts w:hint="eastAsia" w:ascii="Calibri" w:hAnsi="Calibri" w:eastAsia="Calibri"/>
          <w:color w:val="000000"/>
          <w:sz w:val="24"/>
        </w:rPr>
        <w:t xml:space="preserve">during the Covid-19 Pandemic period and the effect that the Pandemic had on revenue generation </w:t>
      </w:r>
      <w:r>
        <w:rPr>
          <w:rFonts w:hint="eastAsia" w:ascii="Calibri" w:hAnsi="Calibri" w:eastAsia="Calibri"/>
          <w:color w:val="000000"/>
          <w:sz w:val="24"/>
        </w:rPr>
        <w:t xml:space="preserve">authorities' mode of operation in Nigeria. The research method used in carrying out this work is </w:t>
      </w:r>
      <w:r>
        <w:rPr>
          <w:rFonts w:hint="eastAsia" w:ascii="Calibri" w:hAnsi="Calibri" w:eastAsia="Calibri"/>
          <w:color w:val="000000"/>
          <w:sz w:val="24"/>
        </w:rPr>
        <w:t xml:space="preserve">doctrinal in nature, as recourse was made to primary and secondary sources of gathering </w:t>
      </w:r>
      <w:r>
        <w:rPr>
          <w:rFonts w:hint="eastAsia" w:ascii="Calibri" w:hAnsi="Calibri" w:eastAsia="Calibri"/>
          <w:color w:val="000000"/>
          <w:sz w:val="24"/>
        </w:rPr>
        <w:t xml:space="preserve">information. The paper examines the tax authority in charge of Federal Tax Administration in </w:t>
      </w:r>
      <w:r>
        <w:rPr>
          <w:rFonts w:hint="eastAsia" w:ascii="Calibri" w:hAnsi="Calibri" w:eastAsia="Calibri"/>
          <w:color w:val="000000"/>
          <w:sz w:val="24"/>
        </w:rPr>
        <w:t xml:space="preserve">Nigeria,the Federal Inland Revenue Service (FIRS) and the tax authorities administering taxes in </w:t>
      </w:r>
      <w:r>
        <w:rPr>
          <w:rFonts w:hint="eastAsia" w:ascii="Calibri" w:hAnsi="Calibri" w:eastAsia="Calibri"/>
          <w:color w:val="000000"/>
          <w:sz w:val="24"/>
        </w:rPr>
        <w:t xml:space="preserve">two of the states in Nigeria, the Lagos State Internal Revenue Service (L</w:t>
      </w:r>
      <w:r>
        <w:rPr>
          <w:rFonts w:hint="eastAsia" w:ascii="Calibri" w:hAnsi="Calibri" w:eastAsia="Calibri"/>
          <w:color w:val="00FF00"/>
          <w:sz w:val="24"/>
        </w:rPr>
        <w:t xml:space="preserve">I</w:t>
      </w:r>
      <w:r>
        <w:rPr>
          <w:rFonts w:hint="eastAsia" w:ascii="Calibri" w:hAnsi="Calibri" w:eastAsia="Calibri"/>
          <w:color w:val="000000"/>
          <w:sz w:val="24"/>
        </w:rPr>
        <w:t xml:space="preserve">RS) and Kwara S</w:t>
      </w:r>
      <w:r>
        <w:rPr>
          <w:rFonts w:hint="eastAsia" w:ascii="Calibri" w:hAnsi="Calibri" w:eastAsia="Calibri"/>
          <w:color w:val="00FF00"/>
          <w:sz w:val="24"/>
        </w:rPr>
        <w:t xml:space="preserve">t</w:t>
      </w:r>
      <w:r>
        <w:rPr>
          <w:rFonts w:hint="eastAsia" w:ascii="Calibri" w:hAnsi="Calibri" w:eastAsia="Calibri"/>
          <w:color w:val="000000"/>
          <w:sz w:val="24"/>
        </w:rPr>
        <w:t xml:space="preserve">ate </w:t>
      </w:r>
      <w:r>
        <w:rPr>
          <w:rFonts w:hint="eastAsia" w:ascii="Calibri" w:hAnsi="Calibri" w:eastAsia="Calibri"/>
          <w:color w:val="000000"/>
          <w:sz w:val="24"/>
        </w:rPr>
        <w:t xml:space="preserve">Internal Revenue Service (KWIRS).The paper also attempts to answer some questions which are;</w:t>
      </w:r>
      <w:r>
        <w:rPr>
          <w:rFonts w:hint="eastAsia" w:ascii="Calibri" w:hAnsi="Calibri" w:eastAsia="Calibri"/>
          <w:color w:val="000000"/>
          <w:sz w:val="24"/>
        </w:rPr>
        <w:t xml:space="preserve">what are the innovations/incentives introduced during and after the pandemic to meet the income </w:t>
      </w:r>
      <w:r>
        <w:rPr>
          <w:rFonts w:hint="eastAsia" w:ascii="Calibri" w:hAnsi="Calibri" w:eastAsia="Calibri"/>
          <w:color w:val="000000"/>
          <w:sz w:val="24"/>
        </w:rPr>
        <w:t xml:space="preserve">generation target of government and; what are the good corpora</w:t>
      </w:r>
      <w:r>
        <w:rPr>
          <w:rFonts w:hint="eastAsia" w:ascii="Calibri" w:hAnsi="Calibri" w:eastAsia="Calibri"/>
          <w:color w:val="00FF00"/>
          <w:sz w:val="24"/>
        </w:rPr>
        <w:t xml:space="preserve">t</w:t>
      </w:r>
      <w:r>
        <w:rPr>
          <w:rFonts w:hint="eastAsia" w:ascii="Calibri" w:hAnsi="Calibri" w:eastAsia="Calibri"/>
          <w:color w:val="000000"/>
          <w:sz w:val="24"/>
        </w:rPr>
        <w:t xml:space="preserve">e </w:t>
      </w:r>
      <w:r>
        <w:rPr>
          <w:rFonts w:hint="eastAsia" w:ascii="Calibri" w:hAnsi="Calibri" w:eastAsia="Calibri"/>
          <w:color w:val="00FF00"/>
          <w:sz w:val="24"/>
        </w:rPr>
        <w:t xml:space="preserve">g</w:t>
      </w:r>
      <w:r>
        <w:rPr>
          <w:rFonts w:hint="eastAsia" w:ascii="Calibri" w:hAnsi="Calibri" w:eastAsia="Calibri"/>
          <w:color w:val="000000"/>
          <w:sz w:val="24"/>
        </w:rPr>
        <w:t xml:space="preserve">overnance mea</w:t>
      </w:r>
      <w:r>
        <w:rPr>
          <w:rFonts w:hint="eastAsia" w:ascii="Calibri" w:hAnsi="Calibri" w:eastAsia="Calibri"/>
          <w:color w:val="00FF00"/>
          <w:sz w:val="24"/>
        </w:rPr>
        <w:t xml:space="preserve">s</w:t>
      </w:r>
      <w:r>
        <w:rPr>
          <w:rFonts w:hint="eastAsia" w:ascii="Calibri" w:hAnsi="Calibri" w:eastAsia="Calibri"/>
          <w:color w:val="000000"/>
          <w:sz w:val="24"/>
        </w:rPr>
        <w:t xml:space="preserve">ures or </w:t>
      </w:r>
      <w:r>
        <w:rPr>
          <w:rFonts w:hint="eastAsia" w:ascii="Calibri" w:hAnsi="Calibri" w:eastAsia="Calibri"/>
          <w:color w:val="000000"/>
          <w:sz w:val="24"/>
        </w:rPr>
        <w:t xml:space="preserve">practices that must be adhered to while rethinking revenue generation? The paper concludes that </w:t>
      </w:r>
      <w:r>
        <w:rPr>
          <w:rFonts w:hint="eastAsia" w:ascii="Calibri" w:hAnsi="Calibri" w:eastAsia="Calibri"/>
          <w:color w:val="000000"/>
          <w:sz w:val="24"/>
        </w:rPr>
        <w:t xml:space="preserve">nothing should be done to compromise good corporate governance practices.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87" w:after="0" w:line="374" w:lineRule="auto"/>
        <w:ind w:left="40" w:right="480"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major objective of the research is to identify innovations introduced by Revenue agencies</w:t>
      </w:r>
      <w:r>
        <w:rPr>
          <w:rFonts w:hint="eastAsia" w:ascii="Calibri" w:hAnsi="Calibri" w:eastAsia="Calibri"/>
          <w:color w:val="00FF00"/>
          <w:sz w:val="24"/>
        </w:rPr>
        <w:t xml:space="preserve"> </w:t>
      </w:r>
      <w:r>
        <w:rPr>
          <w:rFonts w:hint="eastAsia" w:ascii="Calibri" w:hAnsi="Calibri" w:eastAsia="Calibri"/>
          <w:color w:val="000000"/>
          <w:sz w:val="24"/>
        </w:rPr>
        <w:t xml:space="preserve">in </w:t>
      </w:r>
      <w:r>
        <w:rPr>
          <w:rFonts w:hint="eastAsia" w:ascii="Calibri" w:hAnsi="Calibri" w:eastAsia="Calibri"/>
          <w:color w:val="000000"/>
          <w:sz w:val="24"/>
        </w:rPr>
        <w:t xml:space="preserve">Nigeria to enhance revenue generation despite the public health emergency occasioned by</w:t>
      </w:r>
      <w:r>
        <w:rPr>
          <w:rFonts w:hint="eastAsia" w:ascii="Calibri" w:hAnsi="Calibri" w:eastAsia="Calibri"/>
          <w:color w:val="00FF00"/>
          <w:sz w:val="24"/>
        </w:rPr>
        <w:t xml:space="preserve"> th</w:t>
      </w:r>
      <w:r>
        <w:rPr>
          <w:rFonts w:hint="eastAsia" w:ascii="Calibri" w:hAnsi="Calibri" w:eastAsia="Calibri"/>
          <w:color w:val="000000"/>
          <w:sz w:val="24"/>
        </w:rPr>
        <w:t xml:space="preserve">e </w:t>
      </w:r>
      <w:r>
        <w:rPr>
          <w:rFonts w:hint="eastAsia" w:ascii="Calibri" w:hAnsi="Calibri" w:eastAsia="Calibri"/>
          <w:color w:val="000000"/>
          <w:sz w:val="24"/>
        </w:rPr>
        <w:t xml:space="preserve">outbreak of the Covid-19 Pandemic.</w:t>
      </w:r>
    </w:p>
    <w:p>
      <w:pPr>
        <w:spacing w:before="64" w:after="0" w:line="383" w:lineRule="auto"/>
        <w:ind w:firstLine="6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2.0 Advent of Covid-</w:t>
      </w:r>
      <w:r>
        <w:rPr>
          <w:rFonts w:hint="eastAsia" w:ascii="Calibri" w:hAnsi="Calibri" w:eastAsia="Calibri"/>
          <w:b/>
          <w:color w:val="00FF00"/>
          <w:sz w:val="24"/>
        </w:rPr>
        <w:t xml:space="preserve">1</w:t>
      </w:r>
      <w:r>
        <w:rPr>
          <w:rFonts w:hint="eastAsia" w:ascii="Calibri" w:hAnsi="Calibri" w:eastAsia="Calibri"/>
          <w:b/>
          <w:color w:val="000000"/>
          <w:sz w:val="24"/>
        </w:rPr>
        <w:t xml:space="preserve">9 and its</w:t>
      </w:r>
      <w:r>
        <w:rPr>
          <w:rFonts w:hint="eastAsia" w:ascii="Calibri" w:hAnsi="Calibri" w:eastAsia="Calibri"/>
          <w:b/>
          <w:color w:val="00FF00"/>
          <w:sz w:val="24"/>
        </w:rPr>
        <w:t xml:space="preserve"> </w:t>
      </w:r>
      <w:r>
        <w:rPr>
          <w:rFonts w:hint="eastAsia" w:ascii="Calibri" w:hAnsi="Calibri" w:eastAsia="Calibri"/>
          <w:b/>
          <w:color w:val="000000"/>
          <w:sz w:val="24"/>
        </w:rPr>
        <w:t xml:space="preserve">E</w:t>
      </w:r>
      <w:r>
        <w:rPr>
          <w:rFonts w:hint="eastAsia" w:ascii="Calibri" w:hAnsi="Calibri" w:eastAsia="Calibri"/>
          <w:b/>
          <w:color w:val="00FF00"/>
          <w:sz w:val="24"/>
        </w:rPr>
        <w:t xml:space="preserve">ffe</w:t>
      </w:r>
      <w:r>
        <w:rPr>
          <w:rFonts w:hint="eastAsia" w:ascii="Calibri" w:hAnsi="Calibri" w:eastAsia="Calibri"/>
          <w:b/>
          <w:color w:val="000000"/>
          <w:sz w:val="24"/>
        </w:rPr>
        <w:t xml:space="preserve">ct on Economic activit</w:t>
      </w:r>
      <w:r>
        <w:rPr>
          <w:rFonts w:hint="eastAsia" w:ascii="Calibri" w:hAnsi="Calibri" w:eastAsia="Calibri"/>
          <w:b/>
          <w:color w:val="00FF00"/>
          <w:sz w:val="24"/>
        </w:rPr>
        <w:t xml:space="preserve">ie</w:t>
      </w:r>
      <w:r>
        <w:rPr>
          <w:rFonts w:hint="eastAsia" w:ascii="Calibri" w:hAnsi="Calibri" w:eastAsia="Calibri"/>
          <w:b/>
          <w:color w:val="000000"/>
          <w:sz w:val="24"/>
        </w:rPr>
        <w:t xml:space="preserve">s</w:t>
      </w:r>
    </w:p>
    <w:p>
      <w:pPr>
        <w:spacing w:before="126" w:after="0" w:line="374" w:lineRule="auto"/>
        <w:ind w:firstLine="20"/>
        <w:jc w:val="both"/>
        <w:rPr>
          <w:sz w:val="24"/>
        </w:rPr>
        <w:sectPr>
          <w:headerReference w:type="default" r:id="Ra4f7ff5f3b444851"/>
          <w:footerReference w:type="default" r:id="R71017c4c15694eee"/>
          <w:type w:val="continuous"/>
          <w:pgSz w:w="11900" w:h="16620" w:orient="portrait"/>
          <w:pgMar w:top="1680" w:right="720" w:bottom="2400" w:left="720" w:header="840" w:footer="120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2.1 Advent of Covid-</w:t>
      </w:r>
      <w:r>
        <w:rPr>
          <w:rFonts w:hint="eastAsia" w:ascii="Calibri" w:hAnsi="Calibri" w:eastAsia="Calibri"/>
          <w:color w:val="00FF00"/>
          <w:sz w:val="24"/>
        </w:rPr>
        <w:t xml:space="preserve">1</w:t>
      </w:r>
      <w:r>
        <w:rPr>
          <w:rFonts w:hint="eastAsia" w:ascii="Calibri" w:hAnsi="Calibri" w:eastAsia="Calibri"/>
          <w:color w:val="000000"/>
          <w:sz w:val="24"/>
        </w:rPr>
        <w:t xml:space="preserve">9</w:t>
      </w:r>
    </w:p>
    <w:p>
      <w:pPr>
        <w:spacing w:before="0" w:after="0" w:line="374" w:lineRule="auto"/>
        <w:ind w:right="24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On the 31s of December 2019, the World Health Organisation (WHO) office in the People's </w:t>
      </w:r>
      <w:r>
        <w:rPr>
          <w:rFonts w:hint="eastAsia" w:ascii="Calibri" w:hAnsi="Calibri" w:eastAsia="Calibri"/>
          <w:color w:val="000000"/>
          <w:sz w:val="24"/>
        </w:rPr>
        <w:t xml:space="preserve">Republic of China picked up a media statement by the Wuhan Municipal Health Commission on </w:t>
      </w:r>
      <w:r>
        <w:rPr>
          <w:rFonts w:hint="eastAsia" w:ascii="Calibri" w:hAnsi="Calibri" w:eastAsia="Calibri"/>
          <w:color w:val="000000"/>
          <w:sz w:val="24"/>
        </w:rPr>
        <w:t xml:space="preserve">cases of 'viral pneumonia of unknown cause' in Wuhan.' By the 9th and 30th of January 2020</w:t>
      </w:r>
      <w:r>
        <w:rPr>
          <w:rFonts w:hint="eastAsia" w:ascii="Calibri" w:hAnsi="Calibri" w:eastAsia="Calibri"/>
          <w:color w:val="000000"/>
          <w:sz w:val="24"/>
        </w:rPr>
        <w:t xml:space="preserve">respectively, the Chinese authorities identified the outbreak of the novel Coronavirus.2 The </w:t>
      </w:r>
      <w:r>
        <w:rPr>
          <w:rFonts w:hint="eastAsia" w:ascii="Calibri" w:hAnsi="Calibri" w:eastAsia="Calibri"/>
          <w:color w:val="000000"/>
          <w:sz w:val="24"/>
        </w:rPr>
        <w:t xml:space="preserve">Coronavirus was declared a global public health emergency of international concem by the WHO,</w:t>
      </w:r>
      <w:r>
        <w:rPr>
          <w:rFonts w:hint="eastAsia" w:ascii="Calibri" w:hAnsi="Calibri" w:eastAsia="Calibri"/>
          <w:color w:val="000000"/>
          <w:sz w:val="24"/>
        </w:rPr>
        <w:t xml:space="preserve">at the second meeting of the International Health Regulatons Emergency Committee.3 Africa </w:t>
      </w:r>
      <w:r>
        <w:rPr>
          <w:rFonts w:hint="eastAsia" w:ascii="Calibri" w:hAnsi="Calibri" w:eastAsia="Calibri"/>
          <w:color w:val="000000"/>
          <w:sz w:val="24"/>
        </w:rPr>
        <w:t xml:space="preserve">recorded its first case in Egypt on February 2020 and since then, the WHO has recorded </w:t>
      </w:r>
      <w:r>
        <w:rPr>
          <w:rFonts w:hint="eastAsia" w:ascii="Calibri" w:hAnsi="Calibri" w:eastAsia="Calibri"/>
          <w:color w:val="000000"/>
          <w:sz w:val="24"/>
        </w:rPr>
        <w:t xml:space="preserve">666,910,083 confirmed cases of COVID-19 and 6,704,756 deaths globally as of 5th January 2023.4</w:t>
      </w:r>
      <w:r>
        <w:rPr>
          <w:rFonts w:hint="eastAsia" w:ascii="Calibri" w:hAnsi="Calibri" w:eastAsia="Calibri"/>
          <w:color w:val="000000"/>
          <w:sz w:val="24"/>
        </w:rPr>
        <w:t xml:space="preserve">The Covid-19 period was a trying one for the world at large as it succeeded in disrupting every </w:t>
      </w:r>
      <w:r>
        <w:rPr>
          <w:rFonts w:hint="eastAsia" w:ascii="Calibri" w:hAnsi="Calibri" w:eastAsia="Calibri"/>
          <w:color w:val="000000"/>
          <w:sz w:val="24"/>
        </w:rPr>
        <w:t xml:space="preserve">aspect of lifes due to the rate of its spread and death rate, nations of the world had to shut down </w:t>
      </w:r>
      <w:r>
        <w:rPr>
          <w:rFonts w:hint="eastAsia" w:ascii="Calibri" w:hAnsi="Calibri" w:eastAsia="Calibri"/>
          <w:color w:val="000000"/>
          <w:sz w:val="24"/>
        </w:rPr>
        <w:t xml:space="preserve">their economy and everything was at a standstill as a result of the lockdown.6</w: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482600</wp:posOffset>
                </wp:positionH>
                <wp:positionV relativeFrom="page">
                  <wp:posOffset>3467100</wp:posOffset>
                </wp:positionV>
                <wp:extent cx="6578600" cy="2768600"/>
                <wp:effectExtent l="0" t="0" r="635" b="14605"/>
                <wp:wrapNone/>
                <wp:docPr id="6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388" w:lineRule="auto"/>
                              <w:ind w:firstLine="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Covid-19 was first discovered in Nigeria on February 27t, 2020,through an infected Italian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Businessman. Cases increased due to the inflow of people into the country from different parts of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the world. On Monday 23 March 2020 all airports in Nigeria were closed to international flights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while incoming travellers were placed under supervised isolation for 14 days, and by 14th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November 2021,the Nigeria Centrefor Disease Control (NCDC) has recorded 213,076 confirmed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cases and 2,949 deaths. As of 11th January 2023, NCDC website said there are 266,463 confirmed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cases.7 The rapid spread of the Coronavirus had a devastating effect on every sector of the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economy, including the financial sector which necessitated the adoption and introduction of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innovative measures targeted at stemming the tide and at the same time preventing the total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7" style="position:absolute;left:0pt;margin-left:38.0pt;margin-top:273.0pt;height:218.0pt;width:518.0pt;z-index:638750246566812283;mso-width-relative:page;mso-height-relative:page;mso-position-vertical-relative:page;mso-position-horizontal-relative:page;" coordsize="21600,21600" o:spid="_x0000_s7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388" w:lineRule="auto"/>
                        <w:ind w:firstLine="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Covid-19 was first discovered in Nigeria on February 27t, 2020,through an infected Italian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Businessman. Cases increased due to the inflow of people into the country from different parts of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the world. On Monday 23 March 2020 all airports in Nigeria were closed to international flights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while incoming travellers were placed under supervised isolation for 14 days, and by 14th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November 2021,the Nigeria Centrefor Disease Control (NCDC) has recorded 213,076 confirmed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cases and 2,949 deaths. As of 11th January 2023, NCDC website said there are 266,463 confirmed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cases.7 The rapid spread of the Coronavirus had a devastating effect on every sector of the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economy, including the financial sector which necessitated the adoption and introduction of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innovative measures targeted at stemming the tide and at the same time preventing the total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191" w:lineRule="auto"/>
        <w:ind w:firstLine="56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</w:t>
      </w:r>
    </w:p>
    <w:p>
      <w:pPr>
        <w:spacing w:before="0" w:after="0" w:line="254" w:lineRule="auto"/>
        <w:ind w:left="160" w:right="120" w:firstLine="2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*Olariyike Damola </w:t>
      </w:r>
      <w:r>
        <w:rPr>
          <w:rFonts w:hint="eastAsia" w:ascii="Calibri" w:hAnsi="Calibri" w:eastAsia="Calibri"/>
          <w:color w:val="000000"/>
          <w:sz w:val="24"/>
        </w:rPr>
        <w:t xml:space="preserve">Akintoye,PhD,*LL.B.,B.L.,LL.M.,Ph.D.Lecturer,Department of Business and Private Law,</w:t>
      </w:r>
      <w:r>
        <w:rPr>
          <w:rFonts w:hint="eastAsia" w:ascii="Calibri" w:hAnsi="Calibri" w:eastAsia="Calibri"/>
          <w:color w:val="000000"/>
          <w:sz w:val="24"/>
        </w:rPr>
        <w:t xml:space="preserve">Faculty of Law, Kwara State University,(KWASU), Malete Nigeria; </w:t>
      </w:r>
      <w:r>
        <w:rPr>
          <w:rFonts w:hint="eastAsia" w:ascii="Calibri" w:hAnsi="Calibri" w:eastAsia="Calibri"/>
          <w:i/>
          <w:color w:val="000000"/>
          <w:sz w:val="24"/>
        </w:rPr>
        <w:t xml:space="preserve">olariyike.akintoye@kwasu.edu.ng;</w:t>
      </w:r>
      <w:r>
        <w:rPr>
          <w:rFonts w:hint="eastAsia" w:ascii="Calibri" w:hAnsi="Calibri" w:eastAsia="Calibri"/>
          <w:i/>
          <w:color w:val="000000"/>
          <w:sz w:val="24"/>
        </w:rPr>
        <w:t xml:space="preserve">riyikeakintoye@yahoo.com </w:t>
      </w:r>
      <w:r>
        <w:rPr>
          <w:rFonts w:hint="eastAsia" w:ascii="Calibri" w:hAnsi="Calibri" w:eastAsia="Calibri"/>
          <w:color w:val="000000"/>
          <w:sz w:val="24"/>
        </w:rPr>
        <w:t xml:space="preserve">+2348055830014</w:t>
      </w:r>
    </w:p>
    <w:p>
      <w:pPr>
        <w:spacing w:before="0" w:after="0" w:line="220" w:lineRule="auto"/>
        <w:ind w:left="400" w:right="120" w:hanging="2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 Fatima Bello,Nkiruka Chidia Maduekwe and Izuoma Egeruoh-Adindu, 'Guidelines for the Justice and Legal </w:t>
      </w:r>
      <w:r>
        <w:rPr>
          <w:rFonts w:hint="eastAsia" w:ascii="Calibri" w:hAnsi="Calibri" w:eastAsia="Calibri"/>
          <w:color w:val="000000"/>
          <w:sz w:val="24"/>
        </w:rPr>
        <w:t xml:space="preserve">Education Sectors to Facilitate Adherence to the National Covid-19 Guidelines' in M.T Ladan (eds), A support </w:t>
      </w:r>
      <w:r>
        <w:rPr>
          <w:rFonts w:hint="eastAsia" w:ascii="Calibri" w:hAnsi="Calibri" w:eastAsia="Calibri"/>
          <w:color w:val="000000"/>
          <w:sz w:val="24"/>
        </w:rPr>
        <w:t xml:space="preserve">document to aid Covid-19 Compliance in the delivery of Legal Education and implementation of the Administration </w:t>
      </w:r>
      <w:r>
        <w:rPr>
          <w:rFonts w:hint="eastAsia" w:ascii="Calibri" w:hAnsi="Calibri" w:eastAsia="Calibri"/>
          <w:color w:val="000000"/>
          <w:sz w:val="24"/>
        </w:rPr>
        <w:t xml:space="preserve">of Criminal Justice in Nigeria(2021)</w:t>
      </w:r>
    </w:p>
    <w:p>
      <w:pPr>
        <w:spacing w:before="0" w:after="0" w:line="259" w:lineRule="auto"/>
        <w:ind w:left="200" w:right="120" w:hanging="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 World Health Organisation (WHO),'Timeline:WHO's COVID-19 Response'&lt;https://www.who.int/emergencies/</w:t>
      </w:r>
      <w:r>
        <w:rPr>
          <w:rFonts w:hint="eastAsia" w:ascii="Calibri" w:hAnsi="Calibri" w:eastAsia="Calibri"/>
          <w:color w:val="000000"/>
          <w:sz w:val="24"/>
        </w:rPr>
        <w:t xml:space="preserve">diseases/novel-coronavirus-2019/interactive-timeline#!&gt; accessed 20 December 2023</w:t>
      </w:r>
    </w:p>
    <w:p>
      <w:pPr>
        <w:spacing w:before="0" w:after="0" w:line="263" w:lineRule="auto"/>
        <w:ind w:left="160" w:right="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Novel Covid-19 &lt;https://www.who.int/news/item/30-01-2020-statement -on-the-second-meeting-of-the-interna </w:t>
      </w:r>
      <w:r>
        <w:rPr>
          <w:rFonts w:hint="eastAsia" w:ascii="Calibri" w:hAnsi="Calibri" w:eastAsia="Calibri"/>
          <w:color w:val="000000"/>
          <w:sz w:val="24"/>
        </w:rPr>
        <w:t xml:space="preserve">tional-health-regulations-(2005)-emergency-committee-regarding-the-outbreak-of-novel-coronavirus&gt; (2019-ncov)</w:t>
      </w:r>
      <w:r>
        <w:rPr>
          <w:rFonts w:hint="eastAsia" w:ascii="Calibri" w:hAnsi="Calibri" w:eastAsia="Calibri"/>
          <w:color w:val="000000"/>
          <w:sz w:val="24"/>
        </w:rPr>
        <w:t xml:space="preserve">accessed 12 December 2022</w:t>
      </w:r>
    </w:p>
    <w:p>
      <w:pPr>
        <w:spacing w:before="0" w:after="0" w:line="384" w:lineRule="auto"/>
        <w:ind w:firstLine="180"/>
        <w:jc w:val="both"/>
        <w:rPr>
          <w:sz w:val="21"/>
        </w:rPr>
      </w:pPr>
      <w:r>
        <w:rPr>
          <w:rFonts w:hint="eastAsia" w:ascii="Calibri" w:hAnsi="Calibri" w:eastAsia="Calibri"/>
          <w:color w:val="000000"/>
          <w:sz w:val="21"/>
        </w:rPr>
        <w:t xml:space="preserve">5 Baber Hasnan, Spill over effect of Covid-19on the Global Economy TMI 177-196, 2020, (October 20, 2020).</w:t>
      </w:r>
    </w:p>
    <w:p>
      <w:pPr>
        <w:spacing w:before="91" w:after="0" w:line="336" w:lineRule="auto"/>
        <w:ind w:firstLine="1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com/abstract=3717456&gt;or&lt;http://dx.doi.org/10.2139/ssrn.3717456&gt; accessed 22 September 2022</w:t>
      </w:r>
    </w:p>
    <w:p>
      <w:pPr>
        <w:spacing w:before="88" w:after="0" w:line="366" w:lineRule="auto"/>
        <w:ind w:firstLine="28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SSRN Electronic Journal &lt;https://www.researchgate.net/publication/342518936&gt;;&lt;https://www.researchgate.</w:t>
      </w:r>
    </w:p>
    <w:p>
      <w:pPr>
        <w:spacing w:before="108" w:after="0" w:line="336" w:lineRule="auto"/>
        <w:ind w:firstLine="180"/>
        <w:jc w:val="both"/>
        <w:rPr>
          <w:sz w:val="24"/>
        </w:rPr>
        <w:sectPr>
          <w:headerReference w:type="default" r:id="Rc7dcfc98245d4c23"/>
          <w:footerReference w:type="default" r:id="R1fe402007d4143a9"/>
          <w:type w:val="continuous"/>
          <w:pgSz w:w="11900" w:h="1772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7 NCDC Website&lt;https://covid19.ncdc.gov.ng&gt;accessed 11 January 2023</w:t>
      </w:r>
    </w:p>
    <w:p>
      <w:pPr>
        <w:spacing w:before="0" w:after="0" w:line="364" w:lineRule="auto"/>
        <w:ind w:left="32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collapse of the economy.While many are familiar with the medical and non-medical containment </w:t>
      </w:r>
      <w:r>
        <w:rPr>
          <w:rFonts w:hint="eastAsia" w:ascii="Calibri" w:hAnsi="Calibri" w:eastAsia="Calibri"/>
          <w:color w:val="000000"/>
          <w:sz w:val="24"/>
        </w:rPr>
        <w:t xml:space="preserve">measures8 introduced by countries all over the world, a lot of people did not know the measures </w:t>
      </w:r>
      <w:r>
        <w:rPr>
          <w:rFonts w:hint="eastAsia" w:ascii="Calibri" w:hAnsi="Calibri" w:eastAsia="Calibri"/>
          <w:color w:val="000000"/>
          <w:sz w:val="24"/>
        </w:rPr>
        <w:t xml:space="preserve">put in place by financial institutions and businesses which helped keep them afloat during and after </w:t>
      </w:r>
      <w:r>
        <w:rPr>
          <w:rFonts w:hint="eastAsia" w:ascii="Calibri" w:hAnsi="Calibri" w:eastAsia="Calibri"/>
          <w:color w:val="000000"/>
          <w:sz w:val="24"/>
        </w:rPr>
        <w:t xml:space="preserve">the pandemic.</w:t>
      </w:r>
    </w:p>
    <w:p>
      <w:pPr>
        <w:spacing w:before="0" w:after="0" w:line="383" w:lineRule="auto"/>
        <w:ind w:left="280" w:firstLine="66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2.2 Effect of Covid-19 on the Economy and Introduction of New Incentives by Revenue</w:t>
      </w:r>
      <w:r>
        <w:rPr>
          <w:rFonts w:hint="eastAsia" w:ascii="Calibri" w:hAnsi="Calibri" w:eastAsia="Calibri"/>
          <w:color w:val="000000"/>
          <w:sz w:val="24"/>
        </w:rPr>
        <w:t xml:space="preserve"> </w:t>
      </w:r>
      <w:r>
        <w:rPr>
          <w:rFonts w:hint="eastAsia" w:ascii="Calibri" w:hAnsi="Calibri" w:eastAsia="Calibri"/>
          <w:b/>
          <w:color w:val="000000"/>
          <w:sz w:val="24"/>
        </w:rPr>
        <w:t xml:space="preserve">Authorities</w:t>
      </w:r>
    </w:p>
    <w:p>
      <w:pPr>
        <w:spacing w:before="0" w:after="0" w:line="364" w:lineRule="auto"/>
        <w:ind w:left="200" w:right="20" w:firstLine="7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Lockdown and other regulatory control affected business operations across the wor1d9 and </w:t>
      </w:r>
      <w:r>
        <w:rPr>
          <w:rFonts w:hint="eastAsia" w:ascii="Calibri" w:hAnsi="Calibri" w:eastAsia="Calibri"/>
          <w:color w:val="000000"/>
          <w:sz w:val="24"/>
        </w:rPr>
        <w:t xml:space="preserve">revenue generation. 10 It caused a decrease in the revenue availableto the various governments!' in </w:t>
      </w:r>
      <w:r>
        <w:rPr>
          <w:rFonts w:hint="eastAsia" w:ascii="Calibri" w:hAnsi="Calibri" w:eastAsia="Calibri"/>
          <w:color w:val="000000"/>
          <w:sz w:val="24"/>
        </w:rPr>
        <w:t xml:space="preserve">contrast to the volume of expenditure of the government to mneet her myriad obligations to the </w:t>
      </w:r>
      <w:r>
        <w:rPr>
          <w:rFonts w:hint="eastAsia" w:ascii="Calibri" w:hAnsi="Calibri" w:eastAsia="Calibri"/>
          <w:color w:val="000000"/>
          <w:sz w:val="24"/>
        </w:rPr>
        <w:t xml:space="preserve">citizens.12 The Nigerian government introduced new incentives and strategies to beef up her </w:t>
      </w:r>
      <w:r>
        <w:rPr>
          <w:rFonts w:hint="eastAsia" w:ascii="Calibri" w:hAnsi="Calibri" w:eastAsia="Calibri"/>
          <w:color w:val="000000"/>
          <w:sz w:val="24"/>
        </w:rPr>
        <w:t xml:space="preserve">revenue.Kwara State introduced a tax holiday of one year for all existing small and medium </w:t>
      </w:r>
      <w:r>
        <w:rPr>
          <w:rFonts w:hint="eastAsia" w:ascii="Calibri" w:hAnsi="Calibri" w:eastAsia="Calibri"/>
          <w:color w:val="000000"/>
          <w:sz w:val="24"/>
        </w:rPr>
        <w:t xml:space="preserve">enterprises, Jigawa state did the same from 1st July 2020-30th June2021 and 18 months tax holiday </w:t>
      </w:r>
      <w:r>
        <w:rPr>
          <w:rFonts w:hint="eastAsia" w:ascii="Calibri" w:hAnsi="Calibri" w:eastAsia="Calibri"/>
          <w:color w:val="000000"/>
          <w:sz w:val="24"/>
        </w:rPr>
        <w:t xml:space="preserve">for new enterprises from 1stJuly 2020- 31st Dec 2021. In Katsina and Anambra States, a 20% and </w:t>
      </w:r>
      <w:r>
        <w:rPr>
          <w:rFonts w:hint="eastAsia" w:ascii="Calibri" w:hAnsi="Calibri" w:eastAsia="Calibri"/>
          <w:color w:val="000000"/>
          <w:sz w:val="24"/>
        </w:rPr>
        <w:t xml:space="preserve">10% rebate was issued to new taxpayers respectively. Lagos state Internal Revenue was also not </w:t>
      </w:r>
      <w:r>
        <w:rPr>
          <w:rFonts w:hint="eastAsia" w:ascii="Calibri" w:hAnsi="Calibri" w:eastAsia="Calibri"/>
          <w:color w:val="000000"/>
          <w:sz w:val="24"/>
        </w:rPr>
        <w:t xml:space="preserve">left behind as it also introduced tax incentives. While some countries waived taxes on tourism and </w:t>
      </w:r>
      <w:r>
        <w:rPr>
          <w:rFonts w:hint="eastAsia" w:ascii="Calibri" w:hAnsi="Calibri" w:eastAsia="Calibri"/>
          <w:color w:val="000000"/>
          <w:sz w:val="24"/>
        </w:rPr>
        <w:t xml:space="preserve">airline companies, others reduced taxes.</w:t>
      </w:r>
    </w:p>
    <w:p>
      <w:pPr>
        <w:spacing w:before="130" w:after="0" w:line="360" w:lineRule="auto"/>
        <w:ind w:firstLine="20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3.0</w:t>
      </w:r>
      <w:r>
        <w:rPr>
          <w:rFonts w:hint="eastAsia" w:ascii="Calibri" w:hAnsi="Calibri" w:eastAsia="Calibri"/>
          <w:color w:val="000000"/>
          <w:sz w:val="24"/>
        </w:rPr>
        <w:t xml:space="preserve"> </w:t>
      </w:r>
      <w:r>
        <w:rPr>
          <w:rFonts w:hint="eastAsia" w:ascii="Calibri" w:hAnsi="Calibri" w:eastAsia="Calibri"/>
          <w:b/>
          <w:color w:val="000000"/>
          <w:sz w:val="24"/>
        </w:rPr>
        <w:t xml:space="preserve">The Federal Inland Revenue Service</w:t>
      </w:r>
    </w:p>
    <w:p>
      <w:pPr>
        <w:spacing w:before="0" w:after="0" w:line="316" w:lineRule="auto"/>
        <w:ind w:left="100" w:right="80" w:firstLine="1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Federal Inland Revenue Service (FIRS) is the body responsible for the assessment, collection,</w:t>
      </w:r>
      <w:r>
        <w:rPr>
          <w:rFonts w:hint="eastAsia" w:ascii="Calibri" w:hAnsi="Calibri" w:eastAsia="Calibri"/>
          <w:color w:val="000000"/>
          <w:sz w:val="24"/>
        </w:rPr>
        <w:t xml:space="preserve">supervision, accounting, and enforcement of all federal taxes in Nigeria. The Federal Inland </w:t>
      </w:r>
      <w:r>
        <w:rPr>
          <w:rFonts w:hint="eastAsia" w:ascii="Calibri" w:hAnsi="Calibri" w:eastAsia="Calibri"/>
          <w:color w:val="000000"/>
          <w:sz w:val="24"/>
        </w:rPr>
        <w:t xml:space="preserve">Revenue Service (Establishment) Act,No.13,2007,established the FIRS as a body corporate with </w:t>
      </w:r>
      <w:r>
        <w:rPr>
          <w:rFonts w:hint="eastAsia" w:ascii="Calibri" w:hAnsi="Calibri" w:eastAsia="Calibri"/>
          <w:color w:val="000000"/>
          <w:sz w:val="24"/>
        </w:rPr>
        <w:t xml:space="preserve">perpetual succession, a common seal, and the power to sue and be sued. In addition, it created the </w:t>
      </w:r>
      <w:r>
        <w:rPr>
          <w:rFonts w:hint="eastAsia" w:ascii="Calibri" w:hAnsi="Calibri" w:eastAsia="Calibri"/>
          <w:color w:val="000000"/>
          <w:sz w:val="24"/>
        </w:rPr>
        <w:t xml:space="preserve">Federal Inland Revenue Service Board which has overall supervision of the Service, as specified </w:t>
      </w:r>
      <w:r>
        <w:rPr>
          <w:rFonts w:hint="eastAsia" w:ascii="Calibri" w:hAnsi="Calibri" w:eastAsia="Calibri"/>
          <w:color w:val="000000"/>
          <w:sz w:val="24"/>
        </w:rPr>
        <w:t xml:space="preserve">under the Act and consists of an Executive Chairman and fourteen other members drawn from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73" w:lineRule="auto"/>
        <w:ind w:firstLine="8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                           </w:t>
      </w:r>
    </w:p>
    <w:p>
      <w:pPr>
        <w:spacing w:before="0" w:after="0" w:line="220" w:lineRule="auto"/>
        <w:ind w:left="220" w:right="40" w:hanging="1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8 Some of the measures include the declaration of phased lockdown, international and national travel restrictions,</w:t>
      </w:r>
      <w:r>
        <w:rPr>
          <w:rFonts w:hint="eastAsia" w:ascii="Calibri" w:hAnsi="Calibri" w:eastAsia="Calibri"/>
          <w:color w:val="000000"/>
          <w:sz w:val="24"/>
        </w:rPr>
        <w:t xml:space="preserve">social and physical distancing, compulsory use of face masks, regular hand washing and use of alcohol-based hand </w:t>
      </w:r>
      <w:r>
        <w:rPr>
          <w:rFonts w:hint="eastAsia" w:ascii="Calibri" w:hAnsi="Calibri" w:eastAsia="Calibri"/>
          <w:color w:val="000000"/>
          <w:sz w:val="24"/>
        </w:rPr>
        <w:t xml:space="preserve">sanitisers,amongst others.</w:t>
      </w:r>
    </w:p>
    <w:p>
      <w:pPr>
        <w:spacing w:before="0" w:after="0" w:line="191" w:lineRule="auto"/>
        <w:ind w:left="80" w:right="40" w:hanging="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9 Daniel Twesige,"Analysis of Finance and Accounting Measures to Mitigate the Impact of Covid-19 Pandemic </w:t>
      </w:r>
      <w:r>
        <w:rPr>
          <w:rFonts w:hint="eastAsia" w:ascii="Calibri" w:hAnsi="Calibri" w:eastAsia="Calibri"/>
          <w:color w:val="000000"/>
          <w:sz w:val="24"/>
        </w:rPr>
        <w:t xml:space="preserve">among Businesses in Rwanda During and in a Post Covid Environment''. Open Journal of Accounting, II, 199-212.</w:t>
      </w:r>
      <w:r>
        <w:rPr>
          <w:rFonts w:hint="eastAsia" w:ascii="Calibri" w:hAnsi="Calibri" w:eastAsia="Calibri"/>
          <w:color w:val="000000"/>
          <w:sz w:val="24"/>
        </w:rPr>
        <w:t xml:space="preserve">doi:10.4236/ojacct.2022.113011.&lt;https://www.scirp.org&gt;accessed 20 December 2022</w:t>
      </w:r>
    </w:p>
    <w:p>
      <w:pPr>
        <w:spacing w:before="0" w:after="0" w:line="191" w:lineRule="auto"/>
        <w:ind w:left="60" w:right="40"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10 Kumaran Kanapathipillai, " The Impact of the Silent Enemy (Covid-19 Pandemic) on the Marketing Efforts </w:t>
      </w:r>
      <w:r>
        <w:rPr>
          <w:rFonts w:hint="eastAsia" w:ascii="Calibri" w:hAnsi="Calibri" w:eastAsia="Calibri"/>
          <w:color w:val="000000"/>
          <w:sz w:val="24"/>
        </w:rPr>
        <w:t xml:space="preserve">Undertaken by the Automotive Industries in Malysia" European Journal of Management and Marketing Studies </w:t>
      </w:r>
      <w:r>
        <w:rPr>
          <w:rFonts w:hint="eastAsia" w:ascii="Calibri" w:hAnsi="Calibri" w:eastAsia="Calibri"/>
          <w:color w:val="000000"/>
          <w:sz w:val="24"/>
        </w:rPr>
        <w:t xml:space="preserve">(EJMMS) 2020 DOI:&lt;http://dx.doi.org/10.46827/ejmms.v5i4.886&gt;accessed 5 January 2024</w:t>
      </w:r>
    </w:p>
    <w:p>
      <w:pPr>
        <w:spacing w:before="0" w:after="0" w:line="191" w:lineRule="auto"/>
        <w:ind w:left="40" w:right="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il Daniel Bachman, "'The Economic Impact of Covid-19" (2020) Delloitte Insights &lt;https://www2.deloitte.com/us/</w:t>
      </w:r>
      <w:r>
        <w:rPr>
          <w:rFonts w:hint="eastAsia" w:ascii="Calibri" w:hAnsi="Calibri" w:eastAsia="Calibri"/>
          <w:color w:val="000000"/>
          <w:sz w:val="24"/>
        </w:rPr>
        <w:t xml:space="preserve">en/insights/economy/covid-19/economic-impact-covid-19.htm&gt;| accessed 2 December 2023</w:t>
      </w:r>
    </w:p>
    <w:p>
      <w:pPr>
        <w:spacing w:before="0" w:after="0" w:line="191" w:lineRule="auto"/>
        <w:ind w:left="20" w:right="20" w:firstLine="40"/>
        <w:jc w:val="both"/>
        <w:rPr>
          <w:sz w:val="24"/>
        </w:rPr>
        <w:sectPr>
          <w:headerReference w:type="default" r:id="R69c1a72a95964ed5"/>
          <w:footerReference w:type="default" r:id="Rc18bf78b2944401d"/>
          <w:type w:val="continuous"/>
          <w:pgSz w:w="11900" w:h="1798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12 Yunfeng Shang,Haiwei Li.,Ren Shang,"'Public Finance have been negatively affected by the Covid-19 Pandemic:</w:t>
      </w:r>
      <w:r>
        <w:rPr>
          <w:rFonts w:hint="eastAsia" w:ascii="Calibri" w:hAnsi="Calibri" w:eastAsia="Calibri"/>
          <w:color w:val="000000"/>
          <w:sz w:val="24"/>
        </w:rPr>
        <w:t xml:space="preserve">Effect of Pandemic Outbreak on Economies Evidence from Business History Context , Frontiers in Public </w:t>
      </w:r>
      <w:r>
        <w:rPr>
          <w:rFonts w:hint="eastAsia" w:ascii="Calibri" w:hAnsi="Calibri" w:eastAsia="Calibri"/>
          <w:color w:val="000000"/>
          <w:sz w:val="24"/>
        </w:rPr>
        <w:t xml:space="preserve">HealthJournal Published online 2021 March 12 doi: 10 3389/fpubh.2021.632043 &lt;https://www.ncbi.nlm.nih.gov/</w:t>
      </w:r>
      <w:r>
        <w:rPr>
          <w:rFonts w:hint="eastAsia" w:ascii="Calibri" w:hAnsi="Calibri" w:eastAsia="Calibri"/>
          <w:color w:val="000000"/>
          <w:sz w:val="24"/>
        </w:rPr>
        <w:t xml:space="preserve">pmc/articles/PMC7994505/https;//www.frontiers.org&gt;fpubh.2021.632043&gt; accessed 5 January 2024</w:t>
      </w:r>
    </w:p>
    <w:p>
      <w:pPr>
        <w:spacing w:before="0" w:after="0" w:line="379" w:lineRule="auto"/>
        <w:ind w:left="80" w:right="58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different government parastatals and establishments.13 The Executive Chairman,according to the </w:t>
      </w:r>
      <w:r>
        <w:rPr>
          <w:rFonts w:hint="eastAsia" w:ascii="Calibri" w:hAnsi="Calibri" w:eastAsia="Calibri"/>
          <w:color w:val="000000"/>
          <w:sz w:val="24"/>
        </w:rPr>
        <w:t xml:space="preserve">Act, is someone who is experienced in taxation and appointed by the President of Nigeria subject </w:t>
      </w:r>
      <w:r>
        <w:rPr>
          <w:rFonts w:hint="eastAsia" w:ascii="Calibri" w:hAnsi="Calibri" w:eastAsia="Calibri"/>
          <w:color w:val="000000"/>
          <w:sz w:val="24"/>
        </w:rPr>
        <w:t xml:space="preserve">to the confirmation of the Senate. He is the Chief executive and accounting officer of the Service </w:t>
      </w:r>
      <w:r>
        <w:rPr>
          <w:rFonts w:hint="eastAsia" w:ascii="Calibri" w:hAnsi="Calibri" w:eastAsia="Calibri"/>
          <w:color w:val="000000"/>
          <w:sz w:val="24"/>
        </w:rPr>
        <w:t xml:space="preserve">and is responsible for the execution of the policy and the day-to-day administration of the affairs </w:t>
      </w:r>
      <w:r>
        <w:rPr>
          <w:rFonts w:hint="eastAsia" w:ascii="Calibri" w:hAnsi="Calibri" w:eastAsia="Calibri"/>
          <w:color w:val="000000"/>
          <w:sz w:val="24"/>
        </w:rPr>
        <w:t xml:space="preserve">of the Service.</w:t>
      </w:r>
    </w:p>
    <w:p>
      <w:pPr>
        <w:spacing w:before="156" w:after="0" w:line="360" w:lineRule="auto"/>
        <w:ind w:firstLine="16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3.1 The Functions of the Federal Inland Revenue Service</w:t>
      </w:r>
    </w:p>
    <w:p>
      <w:pPr>
        <w:spacing w:before="60" w:after="0" w:line="383" w:lineRule="auto"/>
        <w:ind w:firstLine="1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In Section 8 of the Act 14 the following functions of the Service are enumerated:</w:t>
      </w:r>
    </w:p>
    <w:p>
      <w:pPr>
        <w:spacing w:before="0" w:after="0" w:line="292" w:lineRule="auto"/>
        <w:ind w:firstLine="1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(a) Assess persons including companies, enterprises chargeable with tax;15</w:t>
      </w:r>
    </w:p>
    <w:p>
      <w:pPr>
        <w:spacing w:before="0" w:after="0" w:line="350" w:lineRule="auto"/>
        <w:ind w:left="120" w:right="5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(b) Assess, collect, account, and enforce payment of taxesas may be due to the Government or </w:t>
      </w:r>
      <w:r>
        <w:rPr>
          <w:rFonts w:hint="eastAsia" w:ascii="Calibri" w:hAnsi="Calibri" w:eastAsia="Calibri"/>
          <w:color w:val="000000"/>
          <w:sz w:val="24"/>
        </w:rPr>
        <w:t xml:space="preserve">any of its agency;16</w:t>
      </w:r>
    </w:p>
    <w:p>
      <w:pPr>
        <w:spacing w:before="0" w:after="0" w:line="340" w:lineRule="auto"/>
        <w:ind w:left="120" w:right="5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(c) Collect, recover, and pay to the designated account any tax under any provision of the Act or </w:t>
      </w:r>
      <w:r>
        <w:rPr>
          <w:rFonts w:hint="eastAsia" w:ascii="Calibri" w:hAnsi="Calibri" w:eastAsia="Calibri"/>
          <w:color w:val="000000"/>
          <w:sz w:val="24"/>
        </w:rPr>
        <w:t xml:space="preserve">any other enactment or law;17</w:t>
      </w:r>
    </w:p>
    <w:p>
      <w:pPr>
        <w:spacing w:before="0" w:after="0" w:line="225" w:lineRule="auto"/>
        <w:ind w:left="120" w:right="5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(d) In collaboration with the relevant Ministries and Agencies,review the tax regimes and promote </w:t>
      </w:r>
      <w:r>
        <w:rPr>
          <w:rFonts w:hint="eastAsia" w:ascii="Calibri" w:hAnsi="Calibri" w:eastAsia="Calibri"/>
          <w:color w:val="000000"/>
          <w:sz w:val="24"/>
        </w:rPr>
        <w:t xml:space="preserve">the application of tax Revenues to stimulate economic activities and development;18</w:t>
      </w:r>
    </w:p>
    <w:p>
      <w:pPr>
        <w:spacing w:before="0" w:after="0" w:line="340" w:lineRule="auto"/>
        <w:ind w:left="100" w:right="5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(e) in collaboration with the relevant law enforcement agencies, carry out examination and </w:t>
      </w:r>
      <w:r>
        <w:rPr>
          <w:rFonts w:hint="eastAsia" w:ascii="Calibri" w:hAnsi="Calibri" w:eastAsia="Calibri"/>
          <w:color w:val="000000"/>
          <w:sz w:val="24"/>
        </w:rPr>
        <w:t xml:space="preserve">investigation with a view to enforcing compliance with the provisions of the Act;19</w:t>
      </w:r>
    </w:p>
    <w:p>
      <w:pPr>
        <w:spacing w:before="4" w:after="0" w:line="360" w:lineRule="auto"/>
        <w:ind w:left="80" w:right="5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(f) make, from time to time, a determination of the extent of financial loss and such other losses </w:t>
      </w:r>
      <w:r>
        <w:rPr>
          <w:rFonts w:hint="eastAsia" w:ascii="Calibri" w:hAnsi="Calibri" w:eastAsia="Calibri"/>
          <w:color w:val="000000"/>
          <w:sz w:val="24"/>
        </w:rPr>
        <w:t xml:space="preserve">by government arising from tax fraud or evasion and such other losses (or Revenue forgone)</w:t>
      </w:r>
      <w:r>
        <w:rPr>
          <w:rFonts w:hint="eastAsia" w:ascii="Calibri" w:hAnsi="Calibri" w:eastAsia="Calibri"/>
          <w:color w:val="000000"/>
          <w:sz w:val="24"/>
        </w:rPr>
        <w:t xml:space="preserve">arising from tax waivers and other related matters;20</w:t>
      </w:r>
    </w:p>
    <w:p>
      <w:pPr>
        <w:spacing w:before="0" w:after="0" w:line="350" w:lineRule="auto"/>
        <w:ind w:left="80" w:right="4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(g) adopt measures to identify, trace, freeze, confiscate or seize proceeds derived from tax fraud </w:t>
      </w:r>
      <w:r>
        <w:rPr>
          <w:rFonts w:hint="eastAsia" w:ascii="Calibri" w:hAnsi="Calibri" w:eastAsia="Calibri"/>
          <w:color w:val="000000"/>
          <w:sz w:val="24"/>
        </w:rPr>
        <w:t xml:space="preserve">or evasion;21</w:t>
      </w:r>
    </w:p>
    <w:p>
      <w:pPr>
        <w:spacing w:before="0" w:after="0" w:line="355" w:lineRule="auto"/>
        <w:ind w:left="40" w:right="40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(h) adopt measures which include compliance and regulatory actions, introduction, and </w:t>
      </w:r>
      <w:r>
        <w:rPr>
          <w:rFonts w:hint="eastAsia" w:ascii="Calibri" w:hAnsi="Calibri" w:eastAsia="Calibri"/>
          <w:color w:val="000000"/>
          <w:sz w:val="24"/>
        </w:rPr>
        <w:t xml:space="preserve">maintenance of investigative and control techniques on the detection and prevention of non-</w:t>
      </w:r>
      <w:r>
        <w:rPr>
          <w:rFonts w:hint="eastAsia" w:ascii="Calibri" w:hAnsi="Calibri" w:eastAsia="Calibri"/>
          <w:color w:val="000000"/>
          <w:sz w:val="24"/>
        </w:rPr>
        <w:t xml:space="preserve">compliance;22</w:t>
      </w:r>
    </w:p>
    <w:p>
      <w:pPr>
        <w:spacing w:before="16" w:after="0" w:line="379" w:lineRule="auto"/>
        <w:ind w:left="40" w:right="3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(i) collaborate and facilitate rapid exchange of information with relevant national or international </w:t>
      </w:r>
      <w:r>
        <w:rPr>
          <w:rFonts w:hint="eastAsia" w:ascii="Calibri" w:hAnsi="Calibri" w:eastAsia="Calibri"/>
          <w:color w:val="000000"/>
          <w:sz w:val="24"/>
        </w:rPr>
        <w:t xml:space="preserve">agencies or bodies on tax matters;23</w:t>
      </w:r>
    </w:p>
    <w:p>
      <w:pPr>
        <w:spacing w:before="0" w:after="0" w:line="292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                         </w:t>
      </w:r>
    </w:p>
    <w:p>
      <w:pPr>
        <w:spacing w:before="0" w:after="0" w:line="273" w:lineRule="auto"/>
        <w:ind w:firstLine="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13 Federal Inland Revenue Service (Establishment Act) 2007,s 3(2)(a-j)</w:t>
      </w:r>
    </w:p>
    <w:p>
      <w:pPr>
        <w:spacing w:before="0" w:after="0" w:line="225" w:lineRule="auto"/>
        <w:ind w:firstLine="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14 FIRS (EA)2007s 8(1)(a-t)and 8(2)</w:t>
      </w:r>
    </w:p>
    <w:p>
      <w:pPr>
        <w:spacing w:before="0" w:after="0" w:line="191" w:lineRule="auto"/>
        <w:ind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15 FIRS (EA) 2007 s 8(1)(a)</w:t>
      </w:r>
    </w:p>
    <w:p>
      <w:pPr>
        <w:spacing w:before="0" w:after="0" w:line="211" w:lineRule="auto"/>
        <w:ind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16 FIRS (EA)2007 s (8)(1)(b)</w:t>
      </w:r>
    </w:p>
    <w:p>
      <w:pPr>
        <w:spacing w:before="0" w:after="0" w:line="191" w:lineRule="auto"/>
        <w:ind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17 FIRS (EA) 2007 s (8)(1)(c)</w:t>
      </w:r>
    </w:p>
    <w:p>
      <w:pPr>
        <w:spacing w:before="0" w:after="0" w:line="211" w:lineRule="auto"/>
        <w:ind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18 FIRS (EA) 2007 s (8)(1)(d)</w:t>
      </w:r>
    </w:p>
    <w:p>
      <w:pPr>
        <w:spacing w:before="0" w:after="0" w:line="191" w:lineRule="auto"/>
        <w:ind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19 FIRS (EA)2007s(8)(1)(e)</w:t>
      </w:r>
    </w:p>
    <w:p>
      <w:pPr>
        <w:spacing w:before="0" w:after="0" w:line="211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20 FIRS (EA) 2007s(8)(1)(f)</w:t>
      </w:r>
    </w:p>
    <w:p>
      <w:pPr>
        <w:spacing w:before="0" w:after="0" w:line="191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21 FIRS (EA) 2007 s(8)(1)(g)</w:t>
      </w:r>
    </w:p>
    <w:p>
      <w:pPr>
        <w:spacing w:before="0" w:after="0" w:line="211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22 FIRS (EA) 2007 s(8)(1)(h)</w:t>
      </w:r>
    </w:p>
    <w:p>
      <w:pPr>
        <w:spacing w:before="0" w:after="0" w:line="259" w:lineRule="auto"/>
        <w:ind w:firstLine="0"/>
        <w:jc w:val="both"/>
        <w:rPr>
          <w:sz w:val="24"/>
        </w:rPr>
        <w:sectPr>
          <w:headerReference w:type="default" r:id="R716fdbda9b6845d7"/>
          <w:footerReference w:type="default" r:id="R52a745b90140499e"/>
          <w:type w:val="continuous"/>
          <w:pgSz w:w="11900" w:h="1734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23 FIRS (EA) 2007 s(8)(1)(i)</w:t>
      </w:r>
    </w:p>
    <w:p>
      <w:pPr>
        <w:spacing w:before="0" w:after="0" w:line="316" w:lineRule="auto"/>
        <w:ind w:left="640" w:right="2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(j) undertake exchange of personnel or other experts with complimentary agencies for purposes of </w:t>
      </w:r>
      <w:r>
        <w:rPr>
          <w:rFonts w:hint="eastAsia" w:ascii="Calibri" w:hAnsi="Calibri" w:eastAsia="Calibri"/>
          <w:color w:val="000000"/>
          <w:sz w:val="24"/>
        </w:rPr>
        <w:t xml:space="preserve">comparative experience and capacity building;24</w:t>
      </w:r>
    </w:p>
    <w:p>
      <w:pPr>
        <w:spacing w:before="0" w:after="0" w:line="336" w:lineRule="auto"/>
        <w:ind w:left="620" w:right="4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(k) establish and maintain a system for monitoring international dynamics of taxation to identify </w:t>
      </w:r>
      <w:r>
        <w:rPr>
          <w:rFonts w:hint="eastAsia" w:ascii="Calibri" w:hAnsi="Calibri" w:eastAsia="Calibri"/>
          <w:color w:val="000000"/>
          <w:sz w:val="24"/>
        </w:rPr>
        <w:t xml:space="preserve">suspicious transactions and the perpetrators and other persons involved;25</w:t>
      </w:r>
    </w:p>
    <w:p>
      <w:pPr>
        <w:spacing w:before="13" w:after="0" w:line="336" w:lineRule="auto"/>
        <w:ind w:left="540" w:right="20" w:firstLine="10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(I) provide and maintain access to up to date and adequate data and information on all taxable </w:t>
      </w:r>
      <w:r>
        <w:rPr>
          <w:rFonts w:hint="eastAsia" w:ascii="Calibri" w:hAnsi="Calibri" w:eastAsia="Calibri"/>
          <w:color w:val="000000"/>
          <w:sz w:val="24"/>
        </w:rPr>
        <w:t xml:space="preserve">persons, individuals, corporate bodies, or all agencies of government involved in the collection of </w:t>
      </w:r>
      <w:r>
        <w:rPr>
          <w:rFonts w:hint="eastAsia" w:ascii="Calibri" w:hAnsi="Calibri" w:eastAsia="Calibri"/>
          <w:color w:val="000000"/>
          <w:sz w:val="24"/>
        </w:rPr>
        <w:t xml:space="preserve">revenue for the purpose of efficient, effective and correct tax administration and to prevent tax </w:t>
      </w:r>
      <w:r>
        <w:rPr>
          <w:rFonts w:hint="eastAsia" w:ascii="Calibri" w:hAnsi="Calibri" w:eastAsia="Calibri"/>
          <w:color w:val="000000"/>
          <w:sz w:val="24"/>
        </w:rPr>
        <w:t xml:space="preserve">evasion or fraud;26</w:t>
      </w:r>
    </w:p>
    <w:p>
      <w:pPr>
        <w:spacing w:before="45" w:after="0" w:line="336" w:lineRule="auto"/>
        <w:ind w:left="460" w:right="60" w:firstLine="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(m) maintain database, statistics, records and reports on persons, organisations, proceeds,</w:t>
      </w:r>
      <w:r>
        <w:rPr>
          <w:rFonts w:hint="eastAsia" w:ascii="Calibri" w:hAnsi="Calibri" w:eastAsia="Calibri"/>
          <w:color w:val="000000"/>
          <w:sz w:val="24"/>
        </w:rPr>
        <w:t xml:space="preserve">properties, documents or other items or assets relating to tax administration including matters </w:t>
      </w:r>
      <w:r>
        <w:rPr>
          <w:rFonts w:hint="eastAsia" w:ascii="Calibri" w:hAnsi="Calibri" w:eastAsia="Calibri"/>
          <w:color w:val="000000"/>
          <w:sz w:val="24"/>
        </w:rPr>
        <w:t xml:space="preserve">relating to waivers, fraud or evasion;27</w:t>
      </w:r>
    </w:p>
    <w:p>
      <w:pPr>
        <w:spacing w:before="140" w:after="0" w:line="336" w:lineRule="auto"/>
        <w:ind w:left="380" w:right="80"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(n) undertake and support research on similar measures with a view to stimulating economic </w:t>
      </w:r>
      <w:r>
        <w:rPr>
          <w:rFonts w:hint="eastAsia" w:ascii="Calibri" w:hAnsi="Calibri" w:eastAsia="Calibri"/>
          <w:color w:val="000000"/>
          <w:sz w:val="24"/>
        </w:rPr>
        <w:t xml:space="preserve">development and determine the manifestation, extent, magnitude and effects of tax fraud,evasion </w:t>
      </w:r>
      <w:r>
        <w:rPr>
          <w:rFonts w:hint="eastAsia" w:ascii="Calibri" w:hAnsi="Calibri" w:eastAsia="Calibri"/>
          <w:color w:val="000000"/>
          <w:sz w:val="24"/>
        </w:rPr>
        <w:t xml:space="preserve">and other matters that affect effective tax administration and make recommendations to the </w:t>
      </w:r>
      <w:r>
        <w:rPr>
          <w:rFonts w:hint="eastAsia" w:ascii="Calibri" w:hAnsi="Calibri" w:eastAsia="Calibri"/>
          <w:color w:val="000000"/>
          <w:sz w:val="24"/>
        </w:rPr>
        <w:t xml:space="preserve">government on appropriate intervention and preventive measures;28</w:t>
      </w:r>
    </w:p>
    <w:p>
      <w:pPr>
        <w:spacing w:before="0" w:after="0" w:line="220" w:lineRule="auto"/>
        <w:ind w:left="360" w:right="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(o) collate and continually review all policies of the Federal government relating to taxation and </w:t>
      </w:r>
      <w:r>
        <w:rPr>
          <w:rFonts w:hint="eastAsia" w:ascii="Calibri" w:hAnsi="Calibri" w:eastAsia="Calibri"/>
          <w:color w:val="000000"/>
          <w:sz w:val="24"/>
        </w:rPr>
        <w:t xml:space="preserve">revenue generation and undertake a systematic and progressive implementation of such policies;29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89" w:after="0" w:line="336" w:lineRule="auto"/>
        <w:ind w:left="280" w:right="100" w:firstLine="1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(p) liaise with the office of the Attorney-General of the Federation, all government security and </w:t>
      </w:r>
      <w:r>
        <w:rPr>
          <w:rFonts w:hint="eastAsia" w:ascii="Calibri" w:hAnsi="Calibri" w:eastAsia="Calibri"/>
          <w:color w:val="000000"/>
          <w:sz w:val="24"/>
        </w:rPr>
        <w:t xml:space="preserve">law enforcement agencies and such other financial supervisory institutions in the enforcement and </w:t>
      </w:r>
      <w:r>
        <w:rPr>
          <w:rFonts w:hint="eastAsia" w:ascii="Calibri" w:hAnsi="Calibri" w:eastAsia="Calibri"/>
          <w:color w:val="000000"/>
          <w:sz w:val="24"/>
        </w:rPr>
        <w:t xml:space="preserve">eradication of tax related offenses;30</w:t>
      </w:r>
    </w:p>
    <w:p>
      <w:pPr>
        <w:spacing w:before="65" w:after="0" w:line="350" w:lineRule="auto"/>
        <w:ind w:left="220" w:right="10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(q) issue taxpayer identification number to every taxable person in Nigeria in collaboration with </w:t>
      </w:r>
      <w:r>
        <w:rPr>
          <w:rFonts w:hint="eastAsia" w:ascii="Calibri" w:hAnsi="Calibri" w:eastAsia="Calibri"/>
          <w:color w:val="000000"/>
          <w:sz w:val="24"/>
        </w:rPr>
        <w:t xml:space="preserve">States Board of internal Revenue and Local Government Councils;31</w:t>
      </w:r>
    </w:p>
    <w:p>
      <w:pPr>
        <w:spacing w:before="1" w:after="0" w:line="374" w:lineRule="auto"/>
        <w:ind w:left="240" w:right="80" w:hanging="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(r) carry out and sustain rigorous public awareness and enlightenment campaign on the benefits of </w:t>
      </w:r>
      <w:r>
        <w:rPr>
          <w:rFonts w:hint="eastAsia" w:ascii="Calibri" w:hAnsi="Calibri" w:eastAsia="Calibri"/>
          <w:color w:val="000000"/>
          <w:sz w:val="24"/>
        </w:rPr>
        <w:t xml:space="preserve">tax compliance within and outside Nigeria;32</w:t>
      </w:r>
    </w:p>
    <w:p>
      <w:pPr>
        <w:spacing w:before="2" w:after="0" w:line="364" w:lineRule="auto"/>
        <w:ind w:left="160" w:right="100" w:firstLine="1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(s) carry out oversight functions over all taxes and levies accruable to the Government of the </w:t>
      </w:r>
      <w:r>
        <w:rPr>
          <w:rFonts w:hint="eastAsia" w:ascii="Calibri" w:hAnsi="Calibri" w:eastAsia="Calibri"/>
          <w:color w:val="000000"/>
          <w:sz w:val="24"/>
        </w:rPr>
        <w:t xml:space="preserve">Federation and as it may be required, query, subpoena, sanction and reward any activities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09" w:after="0" w:line="336" w:lineRule="auto"/>
        <w:ind w:firstLine="8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                         </w:t>
      </w:r>
    </w:p>
    <w:p>
      <w:pPr>
        <w:spacing w:before="0" w:after="0" w:line="244" w:lineRule="auto"/>
        <w:ind w:firstLine="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24 FIRS (EA) 2007 s (8)(1)(j)</w:t>
      </w:r>
    </w:p>
    <w:p>
      <w:pPr>
        <w:spacing w:before="0" w:after="0" w:line="191" w:lineRule="auto"/>
        <w:ind w:firstLine="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25 FIRS (EA) 2007 s (8)(1)(k)</w:t>
      </w:r>
    </w:p>
    <w:p>
      <w:pPr>
        <w:spacing w:before="0" w:after="0" w:line="225" w:lineRule="auto"/>
        <w:ind w:firstLine="8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26 FIRS (EA) 2007 s (8)(1)(1)</w:t>
      </w:r>
    </w:p>
    <w:p>
      <w:pPr>
        <w:spacing w:before="0" w:after="0" w:line="211" w:lineRule="auto"/>
        <w:ind w:firstLine="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27 FIRS (EA)2007 s (8)(1)(m)</w:t>
      </w:r>
    </w:p>
    <w:p>
      <w:pPr>
        <w:spacing w:before="0" w:after="0" w:line="211" w:lineRule="auto"/>
        <w:ind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28 FIRS (EA) 2007s(8)(1)(n)</w:t>
      </w:r>
    </w:p>
    <w:p>
      <w:pPr>
        <w:spacing w:before="0" w:after="0" w:line="211" w:lineRule="auto"/>
        <w:ind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29 FIRS (EA) 2007 s(8)(1)(0)</w:t>
      </w:r>
    </w:p>
    <w:p>
      <w:pPr>
        <w:spacing w:before="0" w:after="0" w:line="211" w:lineRule="auto"/>
        <w:ind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30 FIRS (EA) 2007 s (8)(1)(p)</w:t>
      </w:r>
    </w:p>
    <w:p>
      <w:pPr>
        <w:spacing w:before="0" w:after="0" w:line="211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31 FIRS (EA) 2007 s(8)(1)(q)</w:t>
      </w:r>
    </w:p>
    <w:p>
      <w:pPr>
        <w:spacing w:before="0" w:after="0" w:line="211" w:lineRule="auto"/>
        <w:ind w:firstLine="0"/>
        <w:jc w:val="both"/>
        <w:rPr>
          <w:sz w:val="24"/>
        </w:rPr>
        <w:sectPr>
          <w:headerReference w:type="default" r:id="R68f31c6455c04ae2"/>
          <w:footerReference w:type="default" r:id="Rb6dcba1041d54c94"/>
          <w:type w:val="continuous"/>
          <w:pgSz w:w="11900" w:h="1864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32 FIRS (EA)2007 s(8)(1)(r)</w:t>
      </w:r>
    </w:p>
    <w:p>
      <w:pPr>
        <w:spacing w:before="0" w:after="0" w:line="364" w:lineRule="auto"/>
        <w:ind w:left="120" w:right="7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pertaining to the assessment, collection of and accounting for revenue accruable to the </w:t>
      </w:r>
      <w:r>
        <w:rPr>
          <w:rFonts w:hint="eastAsia" w:ascii="Calibri" w:hAnsi="Calibri" w:eastAsia="Calibri"/>
          <w:color w:val="000000"/>
          <w:sz w:val="24"/>
        </w:rPr>
        <w:t xml:space="preserve">Federation;33 and</w: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6959600</wp:posOffset>
                </wp:positionH>
                <wp:positionV relativeFrom="page">
                  <wp:posOffset>7073900</wp:posOffset>
                </wp:positionV>
                <wp:extent cx="152400" cy="127000"/>
                <wp:effectExtent l="0" t="0" r="635" b="14605"/>
                <wp:wrapNone/>
                <wp:docPr id="8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148" w:lineRule="auto"/>
                              <w:ind w:firstLine="20"/>
                              <w:jc w:val="both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1"/>
                              </w:rPr>
                              <w:t xml:space="preserve">3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9" style="position:absolute;left:0pt;margin-left:548.0pt;margin-top:557.0pt;height:10.0pt;width:12.0pt;z-index:638750246566872534;mso-width-relative:page;mso-height-relative:page;mso-position-vertical-relative:page;mso-position-horizontal-relative:page;" coordsize="21600,21600" o:spid="_x0000_s9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148" w:lineRule="auto"/>
                        <w:ind w:firstLine="20"/>
                        <w:jc w:val="both"/>
                        <w:rPr>
                          <w:sz w:val="21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1"/>
                        </w:rPr>
                        <w:t xml:space="preserve">3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952500</wp:posOffset>
                </wp:positionH>
                <wp:positionV relativeFrom="page">
                  <wp:posOffset>7264400</wp:posOffset>
                </wp:positionV>
                <wp:extent cx="5549900" cy="596900"/>
                <wp:effectExtent l="0" t="0" r="635" b="14605"/>
                <wp:wrapNone/>
                <wp:docPr id="10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244" w:lineRule="auto"/>
                              <w:ind w:firstLine="2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vi. FIRS also encourage the public to make use of its available e-platforms which can be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used for tax filing returns, payment of taxes, tax clearance certificates etc.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1" style="position:absolute;left:0pt;margin-left:75.0pt;margin-top:572.0pt;height:47.0pt;width:437.0pt;z-index:638750246566873241;mso-width-relative:page;mso-height-relative:page;mso-position-vertical-relative:page;mso-position-horizontal-relative:page;" coordsize="21600,21600" o:spid="_x0000_s11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244" w:lineRule="auto"/>
                        <w:ind w:firstLine="2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vi. FIRS also encourage the public to make use of its available e-platforms which can be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used for tax filing returns, payment of taxes, tax clearance certificates etc.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6" w:after="0" w:line="364" w:lineRule="auto"/>
        <w:ind w:left="120" w:right="7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(1) carry out such other activities as are necessary or expedient for the fulI discharge of all or any </w:t>
      </w:r>
      <w:r>
        <w:rPr>
          <w:rFonts w:hint="eastAsia" w:ascii="Calibri" w:hAnsi="Calibri" w:eastAsia="Calibri"/>
          <w:color w:val="000000"/>
          <w:sz w:val="24"/>
        </w:rPr>
        <w:t xml:space="preserve">of the functions under the Act.34 In addition to the above,the Secretary may, from time to time,</w:t>
      </w:r>
      <w:r>
        <w:rPr>
          <w:rFonts w:hint="eastAsia" w:ascii="Calibri" w:hAnsi="Calibri" w:eastAsia="Calibri"/>
          <w:color w:val="000000"/>
          <w:sz w:val="24"/>
        </w:rPr>
        <w:t xml:space="preserve">specify the form of returns, claims, statements and notices necessary for the due administration of </w:t>
      </w:r>
      <w:r>
        <w:rPr>
          <w:rFonts w:hint="eastAsia" w:ascii="Calibri" w:hAnsi="Calibri" w:eastAsia="Calibri"/>
          <w:color w:val="000000"/>
          <w:sz w:val="24"/>
        </w:rPr>
        <w:t xml:space="preserve">the powers conferred on itby the Act. We may now look at the effect of the covid-19 Pandemic on </w:t>
      </w:r>
      <w:r>
        <w:rPr>
          <w:rFonts w:hint="eastAsia" w:ascii="Calibri" w:hAnsi="Calibri" w:eastAsia="Calibri"/>
          <w:color w:val="000000"/>
          <w:sz w:val="24"/>
        </w:rPr>
        <w:t xml:space="preserve">revenue generation by the FIRS in Nigeria.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68" w:after="0" w:line="331" w:lineRule="auto"/>
        <w:ind w:left="100" w:right="8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4.0 New</w:t>
      </w:r>
      <w:r>
        <w:rPr>
          <w:rFonts w:hint="eastAsia" w:ascii="Calibri" w:hAnsi="Calibri" w:eastAsia="Calibri"/>
          <w:b/>
          <w:color w:val="000000"/>
          <w:sz w:val="24"/>
        </w:rPr>
        <w:t xml:space="preserve"> </w:t>
      </w:r>
      <w:r>
        <w:rPr>
          <w:rFonts w:hint="eastAsia" w:ascii="Calibri" w:hAnsi="Calibri" w:eastAsia="Calibri"/>
          <w:color w:val="000000"/>
          <w:sz w:val="24"/>
        </w:rPr>
        <w:t xml:space="preserve">tax collecting</w:t>
      </w:r>
      <w:r>
        <w:rPr>
          <w:rFonts w:hint="eastAsia" w:ascii="Calibri" w:hAnsi="Calibri" w:eastAsia="Calibri"/>
          <w:b/>
          <w:color w:val="000000"/>
          <w:sz w:val="24"/>
        </w:rPr>
        <w:t xml:space="preserve"> strategies Introduced by the Nigerian Government During the</w:t>
      </w:r>
      <w:r>
        <w:rPr>
          <w:rFonts w:hint="eastAsia" w:ascii="Calibri" w:hAnsi="Calibri" w:eastAsia="Calibri"/>
          <w:color w:val="000000"/>
          <w:sz w:val="24"/>
        </w:rPr>
        <w:t xml:space="preserve"> </w:t>
      </w:r>
      <w:r>
        <w:rPr>
          <w:rFonts w:hint="eastAsia" w:ascii="Calibri" w:hAnsi="Calibri" w:eastAsia="Calibri"/>
          <w:b/>
          <w:color w:val="000000"/>
          <w:sz w:val="24"/>
        </w:rPr>
        <w:t xml:space="preserve">Pandemic</w:t>
      </w:r>
    </w:p>
    <w:p>
      <w:pPr>
        <w:spacing w:before="208" w:after="0" w:line="345" w:lineRule="auto"/>
        <w:ind w:left="100" w:right="8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For countries to achieve favourable economic conditions, they introduced tax incentives. Nigeria </w:t>
      </w:r>
      <w:r>
        <w:rPr>
          <w:rFonts w:hint="eastAsia" w:ascii="Calibri" w:hAnsi="Calibri" w:eastAsia="Calibri"/>
          <w:color w:val="000000"/>
          <w:sz w:val="24"/>
        </w:rPr>
        <w:t xml:space="preserve">being not an exception, introduced the following incentives and innovations during the pandemic </w:t>
      </w:r>
      <w:r>
        <w:rPr>
          <w:rFonts w:hint="eastAsia" w:ascii="Calibri" w:hAnsi="Calibri" w:eastAsia="Calibri"/>
          <w:color w:val="000000"/>
          <w:sz w:val="24"/>
        </w:rPr>
        <w:t xml:space="preserve">to prevent the economy from total collapse.</w:t>
      </w:r>
    </w:p>
    <w:p>
      <w:pPr>
        <w:spacing w:before="210" w:after="0" w:line="340" w:lineRule="auto"/>
        <w:ind w:left="860" w:right="920" w:hanging="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i. Extension of filing period of Personal Income Tax returns for Foreign Affairs,Military,</w:t>
      </w:r>
      <w:r>
        <w:rPr>
          <w:rFonts w:hint="eastAsia" w:ascii="Calibri" w:hAnsi="Calibri" w:eastAsia="Calibri"/>
          <w:color w:val="000000"/>
          <w:sz w:val="24"/>
        </w:rPr>
        <w:t xml:space="preserve">and Police sector till 30th of June 2020.</w:t>
      </w:r>
    </w:p>
    <w:p>
      <w:pPr>
        <w:spacing w:before="5" w:after="0" w:line="355" w:lineRule="auto"/>
        <w:ind w:left="820" w:right="9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ii. FIRS waived tax penalty for late returns, for taxpayers who pay taxes promptly as an </w:t>
      </w:r>
      <w:r>
        <w:rPr>
          <w:rFonts w:hint="eastAsia" w:ascii="Calibri" w:hAnsi="Calibri" w:eastAsia="Calibri"/>
          <w:color w:val="000000"/>
          <w:sz w:val="24"/>
        </w:rPr>
        <w:t xml:space="preserve">encouragement for tax payment.</w:t>
      </w:r>
    </w:p>
    <w:p>
      <w:pPr>
        <w:spacing w:before="9" w:after="0" w:line="340" w:lineRule="auto"/>
        <w:ind w:left="820" w:right="94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iii. The federal government announced one-month extension to file Companies Income </w:t>
      </w:r>
      <w:r>
        <w:rPr>
          <w:rFonts w:hint="eastAsia" w:ascii="Calibri" w:hAnsi="Calibri" w:eastAsia="Calibri"/>
          <w:color w:val="000000"/>
          <w:sz w:val="24"/>
        </w:rPr>
        <w:t xml:space="preserve">Tax (CIT), withholding tax as well as two months delay in submission of audited financial </w:t>
      </w:r>
      <w:r>
        <w:rPr>
          <w:rFonts w:hint="eastAsia" w:ascii="Calibri" w:hAnsi="Calibri" w:eastAsia="Calibri"/>
          <w:color w:val="000000"/>
          <w:sz w:val="24"/>
        </w:rPr>
        <w:t xml:space="preserve">statements and 20% tax discount for qualified taxable companies.</w:t>
      </w:r>
    </w:p>
    <w:p>
      <w:pPr>
        <w:spacing w:before="7" w:after="0" w:line="321" w:lineRule="auto"/>
        <w:ind w:firstLine="8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iv. Import duty waiver for pharmaceutical firms and some other tax incentives.</w:t>
      </w:r>
    </w:p>
    <w:p>
      <w:pPr>
        <w:spacing w:before="0" w:after="0" w:line="254" w:lineRule="auto"/>
        <w:ind w:left="780" w:right="98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v.FIRS created VAT automated collection system known as VATrac. This system aided </w:t>
      </w:r>
      <w:r>
        <w:rPr>
          <w:rFonts w:hint="eastAsia" w:ascii="Calibri" w:hAnsi="Calibri" w:eastAsia="Calibri"/>
          <w:color w:val="000000"/>
          <w:sz w:val="24"/>
        </w:rPr>
        <w:t xml:space="preserve">VAT collection for businesses like supermarkets, eateries, and standard shops.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02" w:after="0" w:line="311" w:lineRule="auto"/>
        <w:ind w:left="760" w:right="96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vii. Taxpayers who faced challenges in offsetting their liabilities, were given the option of </w:t>
      </w:r>
      <w:r>
        <w:rPr>
          <w:rFonts w:hint="eastAsia" w:ascii="Calibri" w:hAnsi="Calibri" w:eastAsia="Calibri"/>
          <w:color w:val="000000"/>
          <w:sz w:val="24"/>
        </w:rPr>
        <w:t xml:space="preserve">paying in naira.35</w:t>
      </w:r>
    </w:p>
    <w:p>
      <w:pPr>
        <w:spacing w:before="60" w:after="0" w:line="383" w:lineRule="auto"/>
        <w:ind w:left="740" w:right="98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viii. Taxpayers were allowed to file their annual CIT returns without the need to </w:t>
      </w:r>
      <w:r>
        <w:rPr>
          <w:rFonts w:hint="eastAsia" w:ascii="Calibri" w:hAnsi="Calibri" w:eastAsia="Calibri"/>
          <w:color w:val="000000"/>
          <w:sz w:val="24"/>
        </w:rPr>
        <w:t xml:space="preserve">accompany it with the mandatory audited accounts.</w:t>
      </w:r>
    </w:p>
    <w:p>
      <w:pPr>
        <w:spacing w:before="0" w:after="0" w:line="259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                       </w:t>
      </w:r>
    </w:p>
    <w:p>
      <w:pPr>
        <w:spacing w:before="0" w:after="0" w:line="225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33 FIRS (EA)2007 s(8)(1)(s)</w:t>
      </w:r>
    </w:p>
    <w:p>
      <w:pPr>
        <w:spacing w:before="0" w:after="0" w:line="191" w:lineRule="auto"/>
        <w:ind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34 FIRS (EA)2007 s (8)(1)(t)</w:t>
      </w:r>
    </w:p>
    <w:p>
      <w:pPr>
        <w:spacing w:before="79" w:after="0" w:line="278" w:lineRule="auto"/>
        <w:ind w:firstLine="0"/>
        <w:jc w:val="both"/>
        <w:rPr>
          <w:sz w:val="21"/>
        </w:rPr>
        <w:sectPr>
          <w:headerReference w:type="default" r:id="R56f4f4971ac34317"/>
          <w:footerReference w:type="default" r:id="R67f65494411847ba"/>
          <w:type w:val="continuous"/>
          <w:pgSz w:w="11900" w:h="1742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1"/>
        </w:rPr>
        <w:t xml:space="preserve">35 Naira is the Nigerian Local Currency.</w:t>
      </w:r>
    </w:p>
    <w:p>
      <w:pPr>
        <w:spacing w:before="0" w:after="0" w:line="312" w:lineRule="auto"/>
        <w:ind w:left="780" w:right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All these measures contributed immensely to the continuous generation of revenue during the </w:t>
      </w:r>
      <w:r>
        <w:rPr>
          <w:rFonts w:hint="eastAsia" w:ascii="Calibri" w:hAnsi="Calibri" w:eastAsia="Calibri"/>
          <w:color w:val="000000"/>
          <w:sz w:val="25"/>
        </w:rPr>
        <w:t xml:space="preserve">period in question.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45" w:lineRule="auto"/>
        <w:ind w:left="600" w:right="40" w:firstLine="2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For instance,the FIRS generated N5.320 in 2018, N5 trillion in 2019, N4.95 trillion in 2020,</w:t>
      </w:r>
      <w:r>
        <w:rPr>
          <w:rFonts w:hint="eastAsia" w:ascii="Calibri" w:hAnsi="Calibri" w:eastAsia="Calibri"/>
          <w:color w:val="000000"/>
          <w:sz w:val="25"/>
        </w:rPr>
        <w:t xml:space="preserve">and N6.405 trillion in 2021. The 2021 figure represented a 30.6 percent increase when </w:t>
      </w:r>
      <w:r>
        <w:rPr>
          <w:rFonts w:hint="eastAsia" w:ascii="Calibri" w:hAnsi="Calibri" w:eastAsia="Calibri"/>
          <w:color w:val="000000"/>
          <w:sz w:val="25"/>
        </w:rPr>
        <w:t xml:space="preserve">compared to the amount generated in 2020 and a 28 percent rise when compared to N5 trillion </w:t>
      </w:r>
      <w:r>
        <w:rPr>
          <w:rFonts w:hint="eastAsia" w:ascii="Calibri" w:hAnsi="Calibri" w:eastAsia="Calibri"/>
          <w:color w:val="000000"/>
          <w:sz w:val="25"/>
        </w:rPr>
        <w:t xml:space="preserve">generated in 2019.36 The fact that the Federal government of Nigeria through the FIRS </w:t>
      </w:r>
      <w:r>
        <w:rPr>
          <w:rFonts w:hint="eastAsia" w:ascii="Calibri" w:hAnsi="Calibri" w:eastAsia="Calibri"/>
          <w:color w:val="000000"/>
          <w:sz w:val="25"/>
        </w:rPr>
        <w:t xml:space="preserve">generated 5 trillion naira in 2019 when there was no pandemic and 4.95 trillion naira in the </w:t>
      </w:r>
      <w:r>
        <w:rPr>
          <w:rFonts w:hint="eastAsia" w:ascii="Calibri" w:hAnsi="Calibri" w:eastAsia="Calibri"/>
          <w:color w:val="000000"/>
          <w:sz w:val="25"/>
        </w:rPr>
        <w:t xml:space="preserve">heat of the pandemic shows that there is not really a wide gap between what was generated </w:t>
      </w:r>
      <w:r>
        <w:rPr>
          <w:rFonts w:hint="eastAsia" w:ascii="Calibri" w:hAnsi="Calibri" w:eastAsia="Calibri"/>
          <w:color w:val="000000"/>
          <w:sz w:val="25"/>
        </w:rPr>
        <w:t xml:space="preserve">pre-covid-19 and during the covid-19. This is because the FIRS throughout the covid-19</w:t>
      </w:r>
      <w:r>
        <w:rPr>
          <w:rFonts w:hint="eastAsia" w:ascii="Calibri" w:hAnsi="Calibri" w:eastAsia="Calibri"/>
          <w:color w:val="000000"/>
          <w:sz w:val="25"/>
        </w:rPr>
        <w:t xml:space="preserve">period, continued to generate revenue through innovative means and from manufacturers, e-</w:t>
      </w:r>
      <w:r>
        <w:rPr>
          <w:rFonts w:hint="eastAsia" w:ascii="Calibri" w:hAnsi="Calibri" w:eastAsia="Calibri"/>
          <w:color w:val="000000"/>
          <w:sz w:val="25"/>
        </w:rPr>
        <w:t xml:space="preserve">commerce,and the telecommunication sector.</w:t>
      </w:r>
    </w:p>
    <w:p>
      <w:pPr>
        <w:spacing w:before="0" w:after="0" w:line="350" w:lineRule="auto"/>
        <w:ind w:left="60" w:right="100" w:firstLine="20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Olaoye in a study on the impact of Covid-19 outbreak on tax revenue generation in Nigeria </w:t>
      </w:r>
      <w:r>
        <w:rPr>
          <w:rFonts w:hint="eastAsia" w:ascii="Calibri" w:hAnsi="Calibri" w:eastAsia="Calibri"/>
          <w:color w:val="000000"/>
          <w:sz w:val="25"/>
        </w:rPr>
        <w:t xml:space="preserve">concludes that the Covid-19 outbreak did not have a remarkablenegative impact on tax revenue </w:t>
      </w:r>
      <w:r>
        <w:rPr>
          <w:rFonts w:hint="eastAsia" w:ascii="Calibri" w:hAnsi="Calibri" w:eastAsia="Calibri"/>
          <w:color w:val="000000"/>
          <w:sz w:val="25"/>
        </w:rPr>
        <w:t xml:space="preserve">generation in Nigeria.37 The FIRS through its official website reported that it collected 5 trillion </w:t>
      </w:r>
      <w:r>
        <w:rPr>
          <w:rFonts w:hint="eastAsia" w:ascii="Calibri" w:hAnsi="Calibri" w:eastAsia="Calibri"/>
          <w:color w:val="000000"/>
          <w:sz w:val="25"/>
        </w:rPr>
        <w:t xml:space="preserve">naira in 2019,4.95 trillion Naira in 2020 and 6.405 trillion naira in 2021.38 These figures show </w:t>
      </w:r>
      <w:r>
        <w:rPr>
          <w:rFonts w:hint="eastAsia" w:ascii="Calibri" w:hAnsi="Calibri" w:eastAsia="Calibri"/>
          <w:color w:val="000000"/>
          <w:sz w:val="25"/>
        </w:rPr>
        <w:t xml:space="preserve">that the pandemic negative impact is minimal as one would have expected that the margin between </w:t>
      </w:r>
      <w:r>
        <w:rPr>
          <w:rFonts w:hint="eastAsia" w:ascii="Calibri" w:hAnsi="Calibri" w:eastAsia="Calibri"/>
          <w:color w:val="000000"/>
          <w:sz w:val="25"/>
        </w:rPr>
        <w:t xml:space="preserve">the two years will be more than what was declared. In fact, some researchers are of the opinion </w:t>
      </w:r>
      <w:r>
        <w:rPr>
          <w:rFonts w:hint="eastAsia" w:ascii="Calibri" w:hAnsi="Calibri" w:eastAsia="Calibri"/>
          <w:color w:val="000000"/>
          <w:sz w:val="25"/>
        </w:rPr>
        <w:t xml:space="preserve">that the pandemic has contributed positively to the growth of tax revenue generated in Nigeria.39</w:t>
      </w:r>
      <w:r>
        <w:rPr>
          <w:rFonts w:hint="eastAsia" w:ascii="Calibri" w:hAnsi="Calibri" w:eastAsia="Calibri"/>
          <w:color w:val="000000"/>
          <w:sz w:val="25"/>
        </w:rPr>
        <w:t xml:space="preserve">This growth is a result of the various innovations and strategies introduced by the government </w:t>
      </w:r>
      <w:r>
        <w:rPr>
          <w:rFonts w:hint="eastAsia" w:ascii="Calibri" w:hAnsi="Calibri" w:eastAsia="Calibri"/>
          <w:color w:val="000000"/>
          <w:sz w:val="25"/>
        </w:rPr>
        <w:t xml:space="preserve">during the pandemic. Businesses such as the health sector, power generation sector, security </w:t>
      </w:r>
      <w:r>
        <w:rPr>
          <w:rFonts w:hint="eastAsia" w:ascii="Calibri" w:hAnsi="Calibri" w:eastAsia="Calibri"/>
          <w:color w:val="000000"/>
          <w:sz w:val="25"/>
        </w:rPr>
        <w:t xml:space="preserve">companies, and Pay as You Earn (PAYEE), generate revenue for the country. Value Added Tax </w:t>
      </w:r>
      <w:r>
        <w:rPr>
          <w:rFonts w:hint="eastAsia" w:ascii="Calibri" w:hAnsi="Calibri" w:eastAsia="Calibri"/>
          <w:color w:val="000000"/>
          <w:sz w:val="25"/>
        </w:rPr>
        <w:t xml:space="preserve">(VAT) was another source of revenue and taxes were also gotten from seaports that transported </w:t>
      </w:r>
      <w:r>
        <w:rPr>
          <w:rFonts w:hint="eastAsia" w:ascii="Calibri" w:hAnsi="Calibri" w:eastAsia="Calibri"/>
          <w:color w:val="000000"/>
          <w:sz w:val="25"/>
        </w:rPr>
        <w:t xml:space="preserve">some essential cargoes needed for the survival of the nations. All the above, aided generation of </w:t>
      </w:r>
      <w:r>
        <w:rPr>
          <w:rFonts w:hint="eastAsia" w:ascii="Calibri" w:hAnsi="Calibri" w:eastAsia="Calibri"/>
          <w:color w:val="000000"/>
          <w:sz w:val="25"/>
        </w:rPr>
        <w:t xml:space="preserve">revenue by FIRS.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25" w:lineRule="auto"/>
        <w:ind w:left="60" w:right="100" w:firstLine="1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However,some other researchers believe the effect of the pandemic is reflected more in the falling </w:t>
      </w:r>
      <w:r>
        <w:rPr>
          <w:rFonts w:hint="eastAsia" w:ascii="Calibri" w:hAnsi="Calibri" w:eastAsia="Calibri"/>
          <w:color w:val="000000"/>
          <w:sz w:val="25"/>
        </w:rPr>
        <w:t xml:space="preserve">development index such as manufacturing and fixed investment.40 Taxes generated from road,self-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70" w:after="0" w:line="336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235" w:lineRule="auto"/>
        <w:ind w:firstLine="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36 &lt;https://punching.com&gt;firs-others-revenue-collection-cost-accessed August 8 2022</w:t>
      </w:r>
    </w:p>
    <w:p>
      <w:pPr>
        <w:spacing w:before="0" w:after="0" w:line="191" w:lineRule="auto"/>
        <w:ind w:left="40" w:right="1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37 Olaoye A.A,"Impact of Covid-19 on Tax Revenue Generation in Nigeria: A Differential Analysis"2020,Journal </w:t>
      </w:r>
      <w:r>
        <w:rPr>
          <w:rFonts w:hint="eastAsia" w:ascii="Calibri" w:hAnsi="Calibri" w:eastAsia="Calibri"/>
          <w:color w:val="000000"/>
          <w:sz w:val="25"/>
        </w:rPr>
        <w:t xml:space="preserve">of Economc Research &amp; Business Administration Al-Farabi Kazakh National University 92 &lt;https://be.kaznu.kz&gt;</w:t>
      </w:r>
      <w:r>
        <w:rPr>
          <w:rFonts w:hint="eastAsia" w:ascii="Calibri" w:hAnsi="Calibri" w:eastAsia="Calibri"/>
          <w:color w:val="000000"/>
          <w:sz w:val="25"/>
        </w:rPr>
        <w:t xml:space="preserve">&lt;https://doi.org/10.26577/be.2020.v134.i4.08&gt; accessed December 20 2022</w:t>
      </w:r>
    </w:p>
    <w:p>
      <w:pPr>
        <w:spacing w:before="0" w:after="0" w:line="191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38 jbid</w:t>
      </w:r>
    </w:p>
    <w:p>
      <w:pPr>
        <w:spacing w:before="0" w:after="0" w:line="215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39 Ibid</w:t>
      </w:r>
    </w:p>
    <w:p>
      <w:pPr>
        <w:spacing w:before="0" w:after="0" w:line="215" w:lineRule="auto"/>
        <w:ind w:left="20" w:right="80" w:firstLine="20"/>
        <w:jc w:val="both"/>
        <w:rPr>
          <w:sz w:val="25"/>
        </w:rPr>
        <w:sectPr>
          <w:headerReference w:type="default" r:id="Rdd524eec47984c01"/>
          <w:footerReference w:type="default" r:id="Rc3cbca70767b4ce1"/>
          <w:type w:val="continuous"/>
          <w:pgSz w:w="11900" w:h="1924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40 Adesoji Farabiyi and Simplice Asongu"'The Economic Consequences of the Covid-19 Pandemic in Nigeria"' 2020</w:t>
      </w:r>
      <w:r>
        <w:rPr>
          <w:rFonts w:hint="eastAsia" w:ascii="Calibri" w:hAnsi="Calibri" w:eastAsia="Calibri"/>
          <w:color w:val="000000"/>
          <w:sz w:val="25"/>
        </w:rPr>
        <w:t xml:space="preserve">SSRN Electronic Journal &lt;https://www.researchgate.net/publication/342518936&gt;;&lt;</w:t>
      </w:r>
      <w:r>
        <w:rPr>
          <w:rFonts w:hint="eastAsia" w:ascii="Calibri" w:hAnsi="Calibri" w:eastAsia="Calibri"/>
          <w:u w:val="single"/>
          <w:color w:val="000000"/>
          <w:sz w:val="25"/>
        </w:rPr>
        <w:t xml:space="preserve">https://www.researchgate.net/</w:t>
      </w:r>
      <w:r>
        <w:rPr>
          <w:rFonts w:hint="eastAsia" w:ascii="Calibri" w:hAnsi="Calibri" w:eastAsia="Calibri"/>
          <w:u w:val="single"/>
          <w:color w:val="000000"/>
          <w:sz w:val="25"/>
        </w:rPr>
        <w:t xml:space="preserve">publication/342518936</w:t>
      </w:r>
      <w:r>
        <w:rPr>
          <w:rFonts w:hint="eastAsia" w:ascii="Calibri" w:hAnsi="Calibri" w:eastAsia="Calibri"/>
          <w:color w:val="000000"/>
          <w:sz w:val="25"/>
        </w:rPr>
        <w:t xml:space="preserve">&gt; accessed 22 September 2022</w:t>
      </w:r>
    </w:p>
    <w:p>
      <w:pPr>
        <w:spacing w:before="0" w:after="0" w:line="383" w:lineRule="auto"/>
        <w:ind w:left="200" w:right="3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employed persons and services declined by 60% highest decline recorded for taxes paid by self-</w:t>
      </w:r>
      <w:r>
        <w:rPr>
          <w:rFonts w:hint="eastAsia" w:ascii="Calibri" w:hAnsi="Calibri" w:eastAsia="Calibri"/>
          <w:color w:val="000000"/>
          <w:sz w:val="25"/>
        </w:rPr>
        <w:t xml:space="preserve">employed persons.</w:t>
      </w:r>
    </w:p>
    <w:p>
      <w:pPr>
        <w:spacing w:before="87" w:after="0" w:line="340" w:lineRule="auto"/>
        <w:ind w:firstLine="24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5.0 The Lagos State Internal Revenue Service</w:t>
      </w:r>
    </w:p>
    <w:p>
      <w:pPr>
        <w:spacing w:before="5" w:after="0" w:line="345" w:lineRule="auto"/>
        <w:ind w:left="80" w:right="200" w:firstLine="1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Lagos State remains the leading, as well as the highest revenue yielding state in Nigeria and </w:t>
      </w:r>
      <w:r>
        <w:rPr>
          <w:rFonts w:hint="eastAsia" w:ascii="Calibri" w:hAnsi="Calibri" w:eastAsia="Calibri"/>
          <w:color w:val="000000"/>
          <w:sz w:val="25"/>
        </w:rPr>
        <w:t xml:space="preserve">continues to be leading other states revenue agencies.41 Over the years, Lagos state has increased </w:t>
      </w:r>
      <w:r>
        <w:rPr>
          <w:rFonts w:hint="eastAsia" w:ascii="Calibri" w:hAnsi="Calibri" w:eastAsia="Calibri"/>
          <w:color w:val="000000"/>
          <w:sz w:val="25"/>
        </w:rPr>
        <w:t xml:space="preserve">its Internally Generated Revenue (IGR) by introducing incentives and strategies geared towards </w:t>
      </w:r>
      <w:r>
        <w:rPr>
          <w:rFonts w:hint="eastAsia" w:ascii="Calibri" w:hAnsi="Calibri" w:eastAsia="Calibri"/>
          <w:color w:val="000000"/>
          <w:sz w:val="25"/>
        </w:rPr>
        <w:t xml:space="preserve">effective revenue generation and collection. The Covid-19 pandemic period was another period </w:t>
      </w:r>
      <w:r>
        <w:rPr>
          <w:rFonts w:hint="eastAsia" w:ascii="Calibri" w:hAnsi="Calibri" w:eastAsia="Calibri"/>
          <w:color w:val="000000"/>
          <w:sz w:val="25"/>
        </w:rPr>
        <w:t xml:space="preserve">for the Lagos state government, to come up with palliative measures to grant relief to taxpayers.</w:t>
      </w:r>
      <w:r>
        <w:rPr>
          <w:rFonts w:hint="eastAsia" w:ascii="Calibri" w:hAnsi="Calibri" w:eastAsia="Calibri"/>
          <w:color w:val="000000"/>
          <w:sz w:val="25"/>
        </w:rPr>
        <w:t xml:space="preserve">On the 9th of July 2020, the Lagos Internal Revenue Service (LIRS), issued a public notice, to </w:t>
      </w:r>
      <w:r>
        <w:rPr>
          <w:rFonts w:hint="eastAsia" w:ascii="Calibri" w:hAnsi="Calibri" w:eastAsia="Calibri"/>
          <w:color w:val="000000"/>
          <w:sz w:val="25"/>
        </w:rPr>
        <w:t xml:space="preserve">introduce additional measures for its taxpayers in the face of the Covid-19 Pandemic. This is </w:t>
      </w:r>
      <w:r>
        <w:rPr>
          <w:rFonts w:hint="eastAsia" w:ascii="Calibri" w:hAnsi="Calibri" w:eastAsia="Calibri"/>
          <w:color w:val="000000"/>
          <w:sz w:val="25"/>
        </w:rPr>
        <w:t xml:space="preserve">preceded by a 3-month extension of the deadline for filing annual returns on incomes and claims </w:t>
      </w:r>
      <w:r>
        <w:rPr>
          <w:rFonts w:hint="eastAsia" w:ascii="Calibri" w:hAnsi="Calibri" w:eastAsia="Calibri"/>
          <w:color w:val="000000"/>
          <w:sz w:val="25"/>
        </w:rPr>
        <w:t xml:space="preserve">by taxable persons from the 3rd of March 2020 to the 30th of June 2020. The additional palliative </w:t>
      </w:r>
      <w:r>
        <w:rPr>
          <w:rFonts w:hint="eastAsia" w:ascii="Calibri" w:hAnsi="Calibri" w:eastAsia="Calibri"/>
          <w:color w:val="000000"/>
          <w:sz w:val="25"/>
        </w:rPr>
        <w:t xml:space="preserve">includes the following:42</w:t>
      </w:r>
    </w:p>
    <w:p>
      <w:pPr>
        <w:spacing w:before="43" w:after="0" w:line="336" w:lineRule="auto"/>
        <w:ind w:left="180" w:right="3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(i) Payment of outstanding liabilities in instalments. This is in line with the provision of the </w:t>
      </w:r>
      <w:r>
        <w:rPr>
          <w:rFonts w:hint="eastAsia" w:ascii="Calibri" w:hAnsi="Calibri" w:eastAsia="Calibri"/>
          <w:color w:val="000000"/>
          <w:sz w:val="25"/>
        </w:rPr>
        <w:t xml:space="preserve">Personal Income Tax Act (PITA)43 which grants the LIRS the power to extend the time within </w:t>
      </w:r>
      <w:r>
        <w:rPr>
          <w:rFonts w:hint="eastAsia" w:ascii="Calibri" w:hAnsi="Calibri" w:eastAsia="Calibri"/>
          <w:color w:val="000000"/>
          <w:sz w:val="25"/>
        </w:rPr>
        <w:t xml:space="preserve">which tax is paid.</w:t>
      </w:r>
    </w:p>
    <w:p>
      <w:pPr>
        <w:spacing w:before="0" w:after="0" w:line="336" w:lineRule="auto"/>
        <w:ind w:left="120" w:right="26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(ii) Waiver of penalty on late payment of monthly PAYE. Monthly PAYE remittances which were </w:t>
      </w:r>
      <w:r>
        <w:rPr>
          <w:rFonts w:hint="eastAsia" w:ascii="Calibri" w:hAnsi="Calibri" w:eastAsia="Calibri"/>
          <w:color w:val="000000"/>
          <w:sz w:val="25"/>
        </w:rPr>
        <w:t xml:space="preserve">supposed to be made between the periods of March -May 2020 being the period of the lockdown,</w:t>
      </w:r>
      <w:r>
        <w:rPr>
          <w:rFonts w:hint="eastAsia" w:ascii="Calibri" w:hAnsi="Calibri" w:eastAsia="Calibri"/>
          <w:color w:val="000000"/>
          <w:sz w:val="25"/>
        </w:rPr>
        <w:t xml:space="preserve">due to the covid-19 pandemic.</w:t>
      </w:r>
    </w:p>
    <w:p>
      <w:pPr>
        <w:spacing w:before="13" w:after="0" w:line="350" w:lineRule="auto"/>
        <w:ind w:left="80" w:right="18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(iii) Waiver of penalty on late filling of self-assessment return. By virtue of Section 44 of PITA,</w:t>
      </w:r>
      <w:r>
        <w:rPr>
          <w:rFonts w:hint="eastAsia" w:ascii="Calibri" w:hAnsi="Calibri" w:eastAsia="Calibri"/>
          <w:color w:val="000000"/>
          <w:sz w:val="25"/>
        </w:rPr>
        <w:t xml:space="preserve">every taxable person is required to file an annual tax return on or before 31 March every year. The </w:t>
      </w:r>
      <w:r>
        <w:rPr>
          <w:rFonts w:hint="eastAsia" w:ascii="Calibri" w:hAnsi="Calibri" w:eastAsia="Calibri"/>
          <w:color w:val="000000"/>
          <w:sz w:val="25"/>
        </w:rPr>
        <w:t xml:space="preserve">LIRS waived any penalty due to the late filing of 2019 returns which became due on the 30 of June </w:t>
      </w:r>
      <w:r>
        <w:rPr>
          <w:rFonts w:hint="eastAsia" w:ascii="Calibri" w:hAnsi="Calibri" w:eastAsia="Calibri"/>
          <w:color w:val="000000"/>
          <w:sz w:val="25"/>
        </w:rPr>
        <w:t xml:space="preserve">2020,following the 3-month extension.</w:t>
      </w:r>
    </w:p>
    <w:p>
      <w:pPr>
        <w:spacing w:before="11" w:after="0" w:line="350" w:lineRule="auto"/>
        <w:ind w:left="60" w:right="1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(iv) Waiver of penalty and interest on all outstanding tax audit liability from 2009-2015. This is </w:t>
      </w:r>
      <w:r>
        <w:rPr>
          <w:rFonts w:hint="eastAsia" w:ascii="Calibri" w:hAnsi="Calibri" w:eastAsia="Calibri"/>
          <w:color w:val="000000"/>
          <w:sz w:val="25"/>
        </w:rPr>
        <w:t xml:space="preserve">upon the condition that te concerned entities shall present and keep to a structured payment plan </w:t>
      </w:r>
      <w:r>
        <w:rPr>
          <w:rFonts w:hint="eastAsia" w:ascii="Calibri" w:hAnsi="Calibri" w:eastAsia="Calibri"/>
          <w:color w:val="000000"/>
          <w:sz w:val="25"/>
        </w:rPr>
        <w:t xml:space="preserve">that terminates on or before 31st December 2020.</w:t>
      </w:r>
    </w:p>
    <w:p>
      <w:pPr>
        <w:spacing w:before="0" w:after="0" w:line="249" w:lineRule="auto"/>
        <w:ind w:left="60" w:right="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(v) Grant of tax credit on donations. Individual taxpayers who made cash and kind donations to </w:t>
      </w:r>
      <w:r>
        <w:rPr>
          <w:rFonts w:hint="eastAsia" w:ascii="Calibri" w:hAnsi="Calibri" w:eastAsia="Calibri"/>
          <w:color w:val="000000"/>
          <w:sz w:val="25"/>
        </w:rPr>
        <w:t xml:space="preserve">the Lagos State Government, due to the covid-19 pandemic, shall be granted a tax credit of 20%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62" w:after="0" w:line="336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225" w:lineRule="auto"/>
        <w:ind w:left="140" w:right="60" w:hanging="1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41 Moses Adeniyi, 'LIRS: A Leading Light for other States Revenue Agencies'&lt;https://lagosstate.gov.ng/vita-data-</w:t>
      </w:r>
      <w:r>
        <w:rPr>
          <w:rFonts w:hint="eastAsia" w:ascii="Calibri" w:hAnsi="Calibri" w:eastAsia="Calibri"/>
          <w:color w:val="000000"/>
          <w:sz w:val="25"/>
        </w:rPr>
        <w:t xml:space="preserve">lagos-bureau-of-statistics-21&gt; accessed 29 March 2023</w:t>
      </w:r>
    </w:p>
    <w:p>
      <w:pPr>
        <w:spacing w:before="0" w:after="0" w:line="191" w:lineRule="auto"/>
        <w:ind w:left="140" w:right="20" w:hanging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42 Blackwood and Stone LP Tax Law firm, 'Covid-19 Palliative Measures:Lagos State Internal Revenue Service </w:t>
      </w:r>
      <w:r>
        <w:rPr>
          <w:rFonts w:hint="eastAsia" w:ascii="Calibri" w:hAnsi="Calibri" w:eastAsia="Calibri"/>
          <w:color w:val="000000"/>
          <w:sz w:val="25"/>
        </w:rPr>
        <w:t xml:space="preserve">(LIRS) Grants Further Covid-19 Reliefs to Taxpayers' &lt;https://blackwoodstone.com/covid-19 palliative-measures-</w:t>
      </w:r>
      <w:r>
        <w:rPr>
          <w:rFonts w:hint="eastAsia" w:ascii="Calibri" w:hAnsi="Calibri" w:eastAsia="Calibri"/>
          <w:color w:val="000000"/>
          <w:sz w:val="25"/>
        </w:rPr>
        <w:t xml:space="preserve">lagos-state-internal-revenue-service-lirs-grants-further-covid-19-reliefs-to-taxpayers&gt; accessed 29 March 2023</w:t>
      </w:r>
    </w:p>
    <w:p>
      <w:pPr>
        <w:spacing w:before="0" w:after="0" w:line="215" w:lineRule="auto"/>
        <w:ind w:firstLine="0"/>
        <w:jc w:val="both"/>
        <w:rPr>
          <w:sz w:val="25"/>
        </w:rPr>
        <w:sectPr>
          <w:headerReference w:type="default" r:id="Re5e3fbfee8154297"/>
          <w:footerReference w:type="default" r:id="R3c037c8e580d4b21"/>
          <w:type w:val="continuous"/>
          <w:pgSz w:w="11900" w:h="1836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43 Personal Income Tax Act (PITA) 2011 s 68</w:t>
      </w:r>
    </w:p>
    <w:p>
      <w:pPr>
        <w:spacing w:before="0" w:after="0" w:line="196" w:lineRule="auto"/>
        <w:ind w:left="420" w:right="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against their 2021-year assessment tax return. This will only be subject to a cap of 35% of the tax </w:t>
      </w:r>
      <w:r>
        <w:rPr>
          <w:rFonts w:hint="eastAsia" w:ascii="Calibri" w:hAnsi="Calibri" w:eastAsia="Calibri"/>
          <w:color w:val="000000"/>
          <w:sz w:val="25"/>
        </w:rPr>
        <w:t xml:space="preserve">due in 2021, if 20% of thedonations made exceeds 35% of the tax due in 2021.</w:t>
      </w:r>
    </w:p>
    <w:p>
      <w:pPr>
        <w:spacing w:before="20" w:after="0" w:line="336" w:lineRule="auto"/>
        <w:ind w:left="360" w:right="2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(vi) Increased payment channels to make remittance of taxes easier, simpler, and more convenient:</w:t>
      </w:r>
      <w:r>
        <w:rPr>
          <w:rFonts w:hint="eastAsia" w:ascii="Calibri" w:hAnsi="Calibri" w:eastAsia="Calibri"/>
          <w:color w:val="000000"/>
          <w:sz w:val="25"/>
        </w:rPr>
        <w:t xml:space="preserve">During the pandemic, The LIRS provided more payment channels and made the list of additional </w:t>
      </w:r>
      <w:r>
        <w:rPr>
          <w:rFonts w:hint="eastAsia" w:ascii="Calibri" w:hAnsi="Calibri" w:eastAsia="Calibri"/>
          <w:color w:val="000000"/>
          <w:sz w:val="25"/>
        </w:rPr>
        <w:t xml:space="preserve">payment channels available to the public.</w:t>
      </w:r>
    </w:p>
    <w:p>
      <w:pPr>
        <w:spacing w:before="33" w:after="0" w:line="336" w:lineRule="auto"/>
        <w:ind w:left="300" w:right="2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(vii) Form of Tax Audit Reconciliation Committee (TARC). In order to comply with social </w:t>
      </w:r>
      <w:r>
        <w:rPr>
          <w:rFonts w:hint="eastAsia" w:ascii="Calibri" w:hAnsi="Calibri" w:eastAsia="Calibri"/>
          <w:color w:val="000000"/>
          <w:sz w:val="25"/>
        </w:rPr>
        <w:t xml:space="preserve">distancing measures as stipulated by the government, tax audit reconciliation meetings will now </w:t>
      </w:r>
      <w:r>
        <w:rPr>
          <w:rFonts w:hint="eastAsia" w:ascii="Calibri" w:hAnsi="Calibri" w:eastAsia="Calibri"/>
          <w:color w:val="000000"/>
          <w:sz w:val="25"/>
        </w:rPr>
        <w:t xml:space="preserve">be held via video conferencing.44</w:t>
      </w:r>
    </w:p>
    <w:p>
      <w:pPr>
        <w:spacing w:before="96" w:after="0" w:line="336" w:lineRule="auto"/>
        <w:ind w:left="240" w:right="4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Taxpayers were advised to take advantage of these palliative measures proposed by the LIRS and </w:t>
      </w:r>
      <w:r>
        <w:rPr>
          <w:rFonts w:hint="eastAsia" w:ascii="Calibri" w:hAnsi="Calibri" w:eastAsia="Calibri"/>
          <w:color w:val="000000"/>
          <w:sz w:val="25"/>
        </w:rPr>
        <w:t xml:space="preserve">make the requisite payments before the state's deadlines. However, PITA does not have any </w:t>
      </w:r>
      <w:r>
        <w:rPr>
          <w:rFonts w:hint="eastAsia" w:ascii="Calibri" w:hAnsi="Calibri" w:eastAsia="Calibri"/>
          <w:color w:val="000000"/>
          <w:sz w:val="25"/>
        </w:rPr>
        <w:t xml:space="preserve">specific provision which supports the grant of credit on donations by individuals and so the state </w:t>
      </w:r>
      <w:r>
        <w:rPr>
          <w:rFonts w:hint="eastAsia" w:ascii="Calibri" w:hAnsi="Calibri" w:eastAsia="Calibri"/>
          <w:color w:val="000000"/>
          <w:sz w:val="25"/>
        </w:rPr>
        <w:t xml:space="preserve">government is expected to provide further guidance and ultimately the necessary legislation </w:t>
      </w:r>
      <w:r>
        <w:rPr>
          <w:rFonts w:hint="eastAsia" w:ascii="Calibri" w:hAnsi="Calibri" w:eastAsia="Calibri"/>
          <w:color w:val="000000"/>
          <w:sz w:val="25"/>
        </w:rPr>
        <w:t xml:space="preserve">required for granting of tax credit on donations made by individuals.</w:t>
      </w:r>
    </w:p>
    <w:p>
      <w:pPr>
        <w:spacing w:before="80" w:after="0" w:line="336" w:lineRule="auto"/>
        <w:ind w:left="160" w:right="60" w:firstLine="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In furtherance to the public notice, the executive chairman of LIRS, issued a circular, with the </w:t>
      </w:r>
      <w:r>
        <w:rPr>
          <w:rFonts w:hint="eastAsia" w:ascii="Calibri" w:hAnsi="Calibri" w:eastAsia="Calibri"/>
          <w:color w:val="000000"/>
          <w:sz w:val="25"/>
        </w:rPr>
        <w:t xml:space="preserve">subject,'Implementation Guideline-Covid-19 Tax Palliatives.' It is pertinent that LIRS achieved </w:t>
      </w:r>
      <w:r>
        <w:rPr>
          <w:rFonts w:hint="eastAsia" w:ascii="Calibri" w:hAnsi="Calibri" w:eastAsia="Calibri"/>
          <w:color w:val="000000"/>
          <w:sz w:val="25"/>
        </w:rPr>
        <w:t xml:space="preserve">88% budget performance in the year 2020 and that this level of performance is unparalleled by </w:t>
      </w:r>
      <w:r>
        <w:rPr>
          <w:rFonts w:hint="eastAsia" w:ascii="Calibri" w:hAnsi="Calibri" w:eastAsia="Calibri"/>
          <w:color w:val="000000"/>
          <w:sz w:val="25"/>
        </w:rPr>
        <w:t xml:space="preserve">any other state government in the country. The Service grossed in 418 billion naira in tax revenue </w:t>
      </w:r>
      <w:r>
        <w:rPr>
          <w:rFonts w:hint="eastAsia" w:ascii="Calibri" w:hAnsi="Calibri" w:eastAsia="Calibri"/>
          <w:color w:val="000000"/>
          <w:sz w:val="25"/>
        </w:rPr>
        <w:t xml:space="preserve">despite the Covid-19 pandemic impacts, and the End SARS mayhem.45 The LIRS Chairman,</w:t>
      </w:r>
      <w:r>
        <w:rPr>
          <w:rFonts w:hint="eastAsia" w:ascii="Calibri" w:hAnsi="Calibri" w:eastAsia="Calibri"/>
          <w:color w:val="000000"/>
          <w:sz w:val="25"/>
        </w:rPr>
        <w:t xml:space="preserve">attributed the progress to, data driven tax administration and technology adoption, the purpose </w:t>
      </w:r>
      <w:r>
        <w:rPr>
          <w:rFonts w:hint="eastAsia" w:ascii="Calibri" w:hAnsi="Calibri" w:eastAsia="Calibri"/>
          <w:color w:val="000000"/>
          <w:sz w:val="25"/>
        </w:rPr>
        <w:t xml:space="preserve">driven institutional arrangements, human resourcing, social contact strengthening and the political </w:t>
      </w:r>
      <w:r>
        <w:rPr>
          <w:rFonts w:hint="eastAsia" w:ascii="Calibri" w:hAnsi="Calibri" w:eastAsia="Calibri"/>
          <w:color w:val="000000"/>
          <w:sz w:val="25"/>
        </w:rPr>
        <w:t xml:space="preserve">will of the Lagos state government.</w:t>
      </w:r>
    </w:p>
    <w:p>
      <w:pPr>
        <w:spacing w:before="110" w:after="0" w:line="345" w:lineRule="auto"/>
        <w:ind w:left="120" w:right="1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In the same vein, Lagos State had the highest IGR with 753.46 billion, representing 40% of the </w:t>
      </w:r>
      <w:r>
        <w:rPr>
          <w:rFonts w:hint="eastAsia" w:ascii="Calibri" w:hAnsi="Calibri" w:eastAsia="Calibri"/>
          <w:color w:val="000000"/>
          <w:sz w:val="25"/>
        </w:rPr>
        <w:t xml:space="preserve">total IGR in 2021.Lagos is followed by the Federal Capital Territory (FCT) with 131.9 billion </w:t>
      </w:r>
      <w:r>
        <w:rPr>
          <w:rFonts w:hint="eastAsia" w:ascii="Calibri" w:hAnsi="Calibri" w:eastAsia="Calibri"/>
          <w:color w:val="000000"/>
          <w:sz w:val="25"/>
        </w:rPr>
        <w:t xml:space="preserve">naira and Rivers with 123billion naira.46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3" w:lineRule="auto"/>
        <w:ind w:firstLine="8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  </w:t>
      </w:r>
    </w:p>
    <w:p>
      <w:pPr>
        <w:spacing w:before="0" w:after="0" w:line="225" w:lineRule="auto"/>
        <w:ind w:left="100" w:right="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44 Lagos State Government Public Notice Implementation and Tax Incentives and Reliefsfor Taxpayers (Individuals </w:t>
      </w:r>
      <w:r>
        <w:rPr>
          <w:rFonts w:hint="eastAsia" w:ascii="Calibri" w:hAnsi="Calibri" w:eastAsia="Calibri"/>
          <w:color w:val="000000"/>
          <w:sz w:val="25"/>
        </w:rPr>
        <w:t xml:space="preserve">and Businesses) in Lagos State.9 July 2020</w:t>
      </w:r>
    </w:p>
    <w:p>
      <w:pPr>
        <w:spacing w:before="0" w:after="0" w:line="196" w:lineRule="auto"/>
        <w:ind w:left="40" w:right="60" w:firstLine="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45 The Chairman LIRS Mr Ayodele Zubair has told a delegation from the Nigeria Governors Forum (NGF) and a </w:t>
      </w:r>
      <w:r>
        <w:rPr>
          <w:rFonts w:hint="eastAsia" w:ascii="Calibri" w:hAnsi="Calibri" w:eastAsia="Calibri"/>
          <w:color w:val="000000"/>
          <w:sz w:val="25"/>
        </w:rPr>
        <w:t xml:space="preserve">Federal Ministry of Finance Budget and National Planning (FMFBNP) that the Service grossed 418 billion naira in </w:t>
      </w:r>
      <w:r>
        <w:rPr>
          <w:rFonts w:hint="eastAsia" w:ascii="Calibri" w:hAnsi="Calibri" w:eastAsia="Calibri"/>
          <w:color w:val="000000"/>
          <w:sz w:val="25"/>
        </w:rPr>
        <w:t xml:space="preserve">tax revenue despite the Covid-19 Pandemic. The delegation was in Lagos, as part of NGF's determination to improve </w:t>
      </w:r>
      <w:r>
        <w:rPr>
          <w:rFonts w:hint="eastAsia" w:ascii="Calibri" w:hAnsi="Calibri" w:eastAsia="Calibri"/>
          <w:color w:val="000000"/>
          <w:sz w:val="25"/>
        </w:rPr>
        <w:t xml:space="preserve">internally generated revenue in states by fostering peer learning. As a pilot, six states of Gombe, Delta, Nasarawa,</w:t>
      </w:r>
      <w:r>
        <w:rPr>
          <w:rFonts w:hint="eastAsia" w:ascii="Calibri" w:hAnsi="Calibri" w:eastAsia="Calibri"/>
          <w:color w:val="000000"/>
          <w:sz w:val="25"/>
        </w:rPr>
        <w:t xml:space="preserve">Ebonyi,Sokoto and Ekiti states representing each of the geopolitical zones were selected to take part in an IGR </w:t>
      </w:r>
      <w:r>
        <w:rPr>
          <w:rFonts w:hint="eastAsia" w:ascii="Calibri" w:hAnsi="Calibri" w:eastAsia="Calibri"/>
          <w:color w:val="000000"/>
          <w:sz w:val="25"/>
        </w:rPr>
        <w:t xml:space="preserve">Exchange visit to LIRS,the Ministry of Finance,Land Bureau,Geographical Information System and other revenue </w:t>
      </w:r>
      <w:r>
        <w:rPr>
          <w:rFonts w:hint="eastAsia" w:ascii="Calibri" w:hAnsi="Calibri" w:eastAsia="Calibri"/>
          <w:color w:val="000000"/>
          <w:sz w:val="25"/>
        </w:rPr>
        <w:t xml:space="preserve">Mobilisation” Tribune Online May 30 2021 &lt;https:tribuneonline.com/how-lagos-grossed-n418bn-tax-revenue-in-</w:t>
      </w:r>
      <w:r>
        <w:rPr>
          <w:rFonts w:hint="eastAsia" w:ascii="Calibri" w:hAnsi="Calibri" w:eastAsia="Calibri"/>
          <w:color w:val="000000"/>
          <w:sz w:val="25"/>
        </w:rPr>
        <w:t xml:space="preserve">2020--lirs-chair/&gt;;The Guardian Nigerian News 16 April 2021&lt;https://guardian.ng/news/igr-Lagos-tops-other-states-</w:t>
      </w:r>
      <w:r>
        <w:rPr>
          <w:rFonts w:hint="eastAsia" w:ascii="Calibri" w:hAnsi="Calibri" w:eastAsia="Calibri"/>
          <w:color w:val="000000"/>
          <w:sz w:val="25"/>
        </w:rPr>
        <w:t xml:space="preserve">with-n418.99bn-in-2020&gt;</w:t>
      </w:r>
    </w:p>
    <w:p>
      <w:pPr>
        <w:spacing w:before="0" w:after="0" w:line="225" w:lineRule="auto"/>
        <w:ind w:right="60" w:firstLine="20"/>
        <w:jc w:val="both"/>
        <w:rPr>
          <w:sz w:val="25"/>
        </w:rPr>
        <w:sectPr>
          <w:headerReference w:type="default" r:id="R49808409181b4c41"/>
          <w:footerReference w:type="default" r:id="R4273705662a44885"/>
          <w:type w:val="continuous"/>
          <w:pgSz w:w="11900" w:h="1832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46 Pascal Oparada,'The Nigerian States with the Highest Internally Generated Revenue' Business Economy, January </w:t>
      </w:r>
      <w:r>
        <w:rPr>
          <w:rFonts w:hint="eastAsia" w:ascii="Calibri" w:hAnsi="Calibri" w:eastAsia="Calibri"/>
          <w:color w:val="000000"/>
          <w:sz w:val="25"/>
        </w:rPr>
        <w:t xml:space="preserve">19,2023 Business Economy.&lt;https://www.legit.ng/business-economy/1498215-the nigerian states-highest-interally-</w:t>
      </w:r>
      <w:r>
        <w:rPr>
          <w:rFonts w:hint="eastAsia" w:ascii="Calibri" w:hAnsi="Calibri" w:eastAsia="Calibri"/>
          <w:color w:val="000000"/>
          <w:sz w:val="25"/>
        </w:rPr>
        <w:t xml:space="preserve">generated&gt;</w:t>
      </w:r>
    </w:p>
    <w:p>
      <w:pPr>
        <w:spacing w:before="0" w:after="0" w:line="345" w:lineRule="auto"/>
        <w:ind w:left="80" w:right="4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According to Olagundoye and Olagundoye, internally generated revenue did not dacline during </w:t>
      </w:r>
      <w:r>
        <w:rPr>
          <w:rFonts w:hint="eastAsia" w:ascii="Calibri" w:hAnsi="Calibri" w:eastAsia="Calibri"/>
          <w:color w:val="000000"/>
          <w:sz w:val="25"/>
        </w:rPr>
        <w:t xml:space="preserve">the pandemic because taxes were paid since majority were paid salaries during the pandemic and </w:t>
      </w:r>
      <w:r>
        <w:rPr>
          <w:rFonts w:hint="eastAsia" w:ascii="Calibri" w:hAnsi="Calibri" w:eastAsia="Calibri"/>
          <w:color w:val="000000"/>
          <w:sz w:val="25"/>
        </w:rPr>
        <w:t xml:space="preserve">transactions were conducted online via platforms. This proves that in times of crises, IGR may not </w:t>
      </w:r>
      <w:r>
        <w:rPr>
          <w:rFonts w:hint="eastAsia" w:ascii="Calibri" w:hAnsi="Calibri" w:eastAsia="Calibri"/>
          <w:color w:val="000000"/>
          <w:sz w:val="25"/>
        </w:rPr>
        <w:t xml:space="preserve">be adversely affected, if all the channels of generating income are available to taxpayers.47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36" w:lineRule="auto"/>
        <w:ind w:firstLine="18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6.0 The Kwara State Internal Revenue Service</w:t>
      </w:r>
    </w:p>
    <w:p>
      <w:pPr>
        <w:spacing w:before="0" w:after="0" w:line="383" w:lineRule="auto"/>
        <w:ind w:left="80" w:right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In line with the Federal Government Directive that States should take steps to boost their internally </w:t>
      </w:r>
      <w:r>
        <w:rPr>
          <w:rFonts w:hint="eastAsia" w:ascii="Calibri" w:hAnsi="Calibri" w:eastAsia="Calibri"/>
          <w:color w:val="000000"/>
          <w:sz w:val="25"/>
        </w:rPr>
        <w:t xml:space="preserve">generated revenue and become less dependent on the central government, the Kwara State48</w:t>
      </w:r>
      <w:r>
        <w:rPr>
          <w:rFonts w:hint="eastAsia" w:ascii="Calibri" w:hAnsi="Calibri" w:eastAsia="Calibri"/>
          <w:color w:val="000000"/>
          <w:sz w:val="25"/>
        </w:rPr>
        <w:t xml:space="preserve">Internal Revenue Service (KWIRS) was established in the year 201549 to ensure compliance and </w:t>
      </w:r>
      <w:r>
        <w:rPr>
          <w:rFonts w:hint="eastAsia" w:ascii="Calibri" w:hAnsi="Calibri" w:eastAsia="Calibri"/>
          <w:color w:val="000000"/>
          <w:sz w:val="25"/>
        </w:rPr>
        <w:t xml:space="preserve">block leakages occasioned by malfunctioning in the erstwhile tax agency.</w:t>
      </w:r>
    </w:p>
    <w:p>
      <w:pPr>
        <w:spacing w:before="0" w:after="0" w:line="307" w:lineRule="auto"/>
        <w:ind w:left="120" w:right="6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Executive Chairman of the KWIRS, credited increased adoption of technology and steady </w:t>
      </w:r>
      <w:r>
        <w:rPr>
          <w:rFonts w:hint="eastAsia" w:ascii="Calibri" w:hAnsi="Calibri" w:eastAsia="Calibri"/>
          <w:color w:val="000000"/>
          <w:sz w:val="25"/>
        </w:rPr>
        <w:t xml:space="preserve">blockage of leakages within the tax administrative system for the increase. She said the feat was </w:t>
      </w:r>
      <w:r>
        <w:rPr>
          <w:rFonts w:hint="eastAsia" w:ascii="Calibri" w:hAnsi="Calibri" w:eastAsia="Calibri"/>
          <w:color w:val="000000"/>
          <w:sz w:val="25"/>
        </w:rPr>
        <w:t xml:space="preserve">recorded without any new raise in the tax rate adding that the agency had operated a manual tax </w:t>
      </w:r>
      <w:r>
        <w:rPr>
          <w:rFonts w:hint="eastAsia" w:ascii="Calibri" w:hAnsi="Calibri" w:eastAsia="Calibri"/>
          <w:color w:val="000000"/>
          <w:sz w:val="25"/>
        </w:rPr>
        <w:t xml:space="preserve">administrative system since inception and that despite this, the Service has recorded steady IGR </w:t>
      </w:r>
      <w:r>
        <w:rPr>
          <w:rFonts w:hint="eastAsia" w:ascii="Calibri" w:hAnsi="Calibri" w:eastAsia="Calibri"/>
          <w:color w:val="000000"/>
          <w:sz w:val="25"/>
        </w:rPr>
        <w:t xml:space="preserve">growth over the years with the exception of the year 2020 when the economy was almost crippled </w:t>
      </w:r>
      <w:r>
        <w:rPr>
          <w:rFonts w:hint="eastAsia" w:ascii="Calibri" w:hAnsi="Calibri" w:eastAsia="Calibri"/>
          <w:color w:val="000000"/>
          <w:sz w:val="25"/>
        </w:rPr>
        <w:t xml:space="preserve">by the Covid-19 Pandemic.50 The following is a breakdown of the means through which KWIRS </w:t>
      </w:r>
      <w:r>
        <w:rPr>
          <w:rFonts w:hint="eastAsia" w:ascii="Calibri" w:hAnsi="Calibri" w:eastAsia="Calibri"/>
          <w:color w:val="000000"/>
          <w:sz w:val="25"/>
        </w:rPr>
        <w:t xml:space="preserve">continues to generate revenue during the 2020 pandemic.</w:t>
      </w:r>
    </w:p>
    <w:p>
      <w:pPr>
        <w:spacing w:before="246" w:after="0" w:line="336" w:lineRule="auto"/>
        <w:ind w:left="1020" w:right="10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1. Taxes were generated from PAYEE (pay as you earn), despite the pandemic and workers'</w:t>
      </w:r>
      <w:r>
        <w:rPr>
          <w:rFonts w:hint="eastAsia" w:ascii="Calibri" w:hAnsi="Calibri" w:eastAsia="Calibri"/>
          <w:color w:val="000000"/>
          <w:sz w:val="25"/>
        </w:rPr>
        <w:t xml:space="preserve">salaries continued to be paid hence taxes were deducted from source from the salaries </w:t>
      </w:r>
      <w:r>
        <w:rPr>
          <w:rFonts w:hint="eastAsia" w:ascii="Calibri" w:hAnsi="Calibri" w:eastAsia="Calibri"/>
          <w:color w:val="000000"/>
          <w:sz w:val="25"/>
        </w:rPr>
        <w:t xml:space="preserve">paid. This is a good source of revenue generation in Kwara State.</w:t>
      </w:r>
    </w:p>
    <w:p>
      <w:pPr>
        <w:spacing w:before="0" w:after="0" w:line="239" w:lineRule="auto"/>
        <w:ind w:left="1000" w:right="120" w:hanging="4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2. Despite the lockdown, health personnel were allowed to go to work. Taxes were deducted </w:t>
      </w:r>
      <w:r>
        <w:rPr>
          <w:rFonts w:hint="eastAsia" w:ascii="Calibri" w:hAnsi="Calibri" w:eastAsia="Calibri"/>
          <w:color w:val="000000"/>
          <w:sz w:val="25"/>
        </w:rPr>
        <w:t xml:space="preserve">from the services rendered by these personnel and from drugs bought by the patients.</w:t>
      </w:r>
      <w:r>
        <w:rPr>
          <w:rFonts w:hint="eastAsia" w:ascii="Calibri" w:hAnsi="Calibri" w:eastAsia="Calibri"/>
          <w:color w:val="000000"/>
          <w:sz w:val="25"/>
        </w:rPr>
        <w:t xml:space="preserve">KWIRS had its officials placed in hospitals who oversaw collecting tax rates.</w:t>
      </w:r>
    </w:p>
    <w:p>
      <w:pPr>
        <w:spacing w:before="151" w:after="0" w:line="336" w:lineRule="auto"/>
        <w:ind w:left="960" w:right="8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3. Taxes were deducted from the incentives paid by the government such as health hazards </w:t>
      </w:r>
      <w:r>
        <w:rPr>
          <w:rFonts w:hint="eastAsia" w:ascii="Calibri" w:hAnsi="Calibri" w:eastAsia="Calibri"/>
          <w:color w:val="000000"/>
          <w:sz w:val="25"/>
        </w:rPr>
        <w:t xml:space="preserve">paid to health workers, and security agencies.</w:t>
      </w:r>
    </w:p>
    <w:p>
      <w:pPr>
        <w:spacing w:before="80" w:after="0" w:line="345" w:lineRule="auto"/>
        <w:ind w:left="780" w:right="80" w:hanging="2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4. Citizens were encouraged through online platform of the benefit of paying their taxes,</w:t>
      </w:r>
      <w:r>
        <w:rPr>
          <w:rFonts w:hint="eastAsia" w:ascii="Calibri" w:hAnsi="Calibri" w:eastAsia="Calibri"/>
          <w:color w:val="000000"/>
          <w:sz w:val="25"/>
        </w:rPr>
        <w:t xml:space="preserve">especially during the pandemic. This agency via its platform enlightened the citizens on </w:t>
      </w:r>
      <w:r>
        <w:rPr>
          <w:rFonts w:hint="eastAsia" w:ascii="Calibri" w:hAnsi="Calibri" w:eastAsia="Calibri"/>
          <w:color w:val="000000"/>
          <w:sz w:val="25"/>
        </w:rPr>
        <w:t xml:space="preserve">the need to pay tax to enhance the smooth running of the State.</w:t>
      </w:r>
    </w:p>
    <w:p>
      <w:pPr>
        <w:spacing w:before="128" w:after="0" w:line="336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2" w:after="0" w:line="336" w:lineRule="auto"/>
        <w:ind w:left="40" w:right="80" w:hanging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Nigera'' International Journal of Finance and Accounting ijfa/10.47604/ijfa 7(4)18-34.&lt;https://doi.org/10.47604/</w:t>
      </w:r>
      <w:r>
        <w:rPr>
          <w:rFonts w:hint="eastAsia" w:ascii="Calibri" w:hAnsi="Calibri" w:eastAsia="Calibri"/>
          <w:color w:val="000000"/>
          <w:sz w:val="25"/>
        </w:rPr>
        <w:t xml:space="preserve">ijfa1666&gt;accessed 30 March 2024</w:t>
      </w:r>
    </w:p>
    <w:p>
      <w:pPr>
        <w:spacing w:before="0" w:after="0" w:line="191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48 One of the 36 states in Nigeria.</w:t>
      </w:r>
    </w:p>
    <w:p>
      <w:pPr>
        <w:spacing w:before="0" w:after="0" w:line="191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49 Known as the Kwara State of Nigeria Law No.6 of 2015.</w:t>
      </w:r>
    </w:p>
    <w:p>
      <w:pPr>
        <w:spacing w:before="6" w:after="0" w:line="374" w:lineRule="auto"/>
        <w:ind w:firstLine="0"/>
        <w:jc w:val="both"/>
        <w:rPr>
          <w:sz w:val="25"/>
        </w:rPr>
        <w:sectPr>
          <w:headerReference w:type="default" r:id="R770e9739d97f4fda"/>
          <w:footerReference w:type="default" r:id="Re623a0a8c2cc422d"/>
          <w:type w:val="continuous"/>
          <w:pgSz w:w="11900" w:h="1816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5o&lt;https://kwarastategov.ng;https://www.vanguardngr.com&gt; accessed November 14 2022</w:t>
      </w:r>
    </w:p>
    <w:p>
      <w:pPr>
        <w:spacing w:before="0" w:after="0" w:line="297" w:lineRule="auto"/>
        <w:ind w:left="1100" w:right="2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5. KWIRS employed alternative dispute resolution (ADR) for recovery of tax to generate </w:t>
      </w:r>
      <w:r>
        <w:rPr>
          <w:rFonts w:hint="eastAsia" w:ascii="Calibri" w:hAnsi="Calibri" w:eastAsia="Calibri"/>
          <w:color w:val="000000"/>
          <w:sz w:val="25"/>
        </w:rPr>
        <w:t xml:space="preserve">revenue.51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50" w:lineRule="auto"/>
        <w:ind w:left="560" w:right="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KWIRS generated 19billion naira in the year 2020,despite the pandemic,although it is less </w:t>
      </w:r>
      <w:r>
        <w:rPr>
          <w:rFonts w:hint="eastAsia" w:ascii="Calibri" w:hAnsi="Calibri" w:eastAsia="Calibri"/>
          <w:color w:val="000000"/>
          <w:sz w:val="25"/>
        </w:rPr>
        <w:t xml:space="preserve">than the N30.64 billion generated by the same agency in the previous year.The next section </w:t>
      </w:r>
      <w:r>
        <w:rPr>
          <w:rFonts w:hint="eastAsia" w:ascii="Calibri" w:hAnsi="Calibri" w:eastAsia="Calibri"/>
          <w:color w:val="000000"/>
          <w:sz w:val="25"/>
        </w:rPr>
        <w:t xml:space="preserve">will look at some of the incentives and innovations introduced by the KWIRS which enabled </w:t>
      </w:r>
      <w:r>
        <w:rPr>
          <w:rFonts w:hint="eastAsia" w:ascii="Calibri" w:hAnsi="Calibri" w:eastAsia="Calibri"/>
          <w:color w:val="000000"/>
          <w:sz w:val="25"/>
        </w:rPr>
        <w:t xml:space="preserve">the state government to continue to make money.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" w:after="0" w:line="336" w:lineRule="auto"/>
        <w:ind w:left="180" w:right="80" w:firstLine="2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6.1 Kwara State Internal Revenue Press Statement on Palliatives Provision and Measures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b/>
          <w:color w:val="000000"/>
          <w:sz w:val="25"/>
        </w:rPr>
        <w:t xml:space="preserve">On COVID-1952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07" w:after="0" w:line="340" w:lineRule="auto"/>
        <w:ind w:left="120" w:right="1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Following the outbreak of Coronavirus pandemic across the world and the official announcement </w:t>
      </w:r>
      <w:r>
        <w:rPr>
          <w:rFonts w:hint="eastAsia" w:ascii="Calibri" w:hAnsi="Calibri" w:eastAsia="Calibri"/>
          <w:color w:val="000000"/>
          <w:sz w:val="25"/>
        </w:rPr>
        <w:t xml:space="preserve">of the first case in Nigeria on the 27th of February, 2020,and the subsequent spike in the number </w:t>
      </w:r>
      <w:r>
        <w:rPr>
          <w:rFonts w:hint="eastAsia" w:ascii="Calibri" w:hAnsi="Calibri" w:eastAsia="Calibri"/>
          <w:color w:val="000000"/>
          <w:sz w:val="25"/>
        </w:rPr>
        <w:t xml:space="preserve">of active cases, which necessitated a shutdown pronouncement by the Kwara State Government in </w:t>
      </w:r>
      <w:r>
        <w:rPr>
          <w:rFonts w:hint="eastAsia" w:ascii="Calibri" w:hAnsi="Calibri" w:eastAsia="Calibri"/>
          <w:color w:val="000000"/>
          <w:sz w:val="25"/>
        </w:rPr>
        <w:t xml:space="preserve">line wih the Federal Government directive on the 23rd of March, 2020,the Kwara State Internal </w:t>
      </w:r>
      <w:r>
        <w:rPr>
          <w:rFonts w:hint="eastAsia" w:ascii="Calibri" w:hAnsi="Calibri" w:eastAsia="Calibri"/>
          <w:color w:val="000000"/>
          <w:sz w:val="25"/>
        </w:rPr>
        <w:t xml:space="preserve">Revenue Service,implemented the following measures to safeguard the lives of its Staff, ease the </w:t>
      </w:r>
      <w:r>
        <w:rPr>
          <w:rFonts w:hint="eastAsia" w:ascii="Calibri" w:hAnsi="Calibri" w:eastAsia="Calibri"/>
          <w:color w:val="000000"/>
          <w:sz w:val="25"/>
        </w:rPr>
        <w:t xml:space="preserve">burden on taxpayers, and ensure business continuity in line with best practices as an ISO Certified </w:t>
      </w:r>
      <w:r>
        <w:rPr>
          <w:rFonts w:hint="eastAsia" w:ascii="Calibri" w:hAnsi="Calibri" w:eastAsia="Calibri"/>
          <w:color w:val="000000"/>
          <w:sz w:val="25"/>
        </w:rPr>
        <w:t xml:space="preserve">organization:53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06" w:after="0" w:line="336" w:lineRule="auto"/>
        <w:ind w:left="940" w:right="12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1. Donation of palliatives to Informal Sector Taxpayers to cushion the effects of Covid-19 on </w:t>
      </w:r>
      <w:r>
        <w:rPr>
          <w:rFonts w:hint="eastAsia" w:ascii="Calibri" w:hAnsi="Calibri" w:eastAsia="Calibri"/>
          <w:color w:val="000000"/>
          <w:sz w:val="25"/>
        </w:rPr>
        <w:t xml:space="preserve">their businesses in April and June 2020.</w:t>
      </w:r>
    </w:p>
    <w:p>
      <w:pPr>
        <w:spacing w:before="60" w:after="0" w:line="336" w:lineRule="auto"/>
        <w:ind w:left="940" w:right="140" w:hanging="4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2. A further extension of the deadline for filing Annual Returns from 31st of March to 30th </w:t>
      </w:r>
      <w:r>
        <w:rPr>
          <w:rFonts w:hint="eastAsia" w:ascii="Calibri" w:hAnsi="Calibri" w:eastAsia="Calibri"/>
          <w:color w:val="000000"/>
          <w:sz w:val="25"/>
        </w:rPr>
        <w:t xml:space="preserve">of September 2020.</w:t>
      </w:r>
    </w:p>
    <w:p>
      <w:pPr>
        <w:spacing w:before="42" w:after="0" w:line="336" w:lineRule="auto"/>
        <w:ind w:left="920" w:right="160" w:hanging="4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3. 30% discount/waiver on arrears on ground rent and land charge for property owners and </w:t>
      </w:r>
      <w:r>
        <w:rPr>
          <w:rFonts w:hint="eastAsia" w:ascii="Calibri" w:hAnsi="Calibri" w:eastAsia="Calibri"/>
          <w:color w:val="000000"/>
          <w:sz w:val="25"/>
        </w:rPr>
        <w:t xml:space="preserve">land occupiers if they pay between 1st April and 30th September 2020.</w:t>
      </w:r>
    </w:p>
    <w:p>
      <w:pPr>
        <w:spacing w:before="22" w:after="0" w:line="350" w:lineRule="auto"/>
        <w:ind w:left="860" w:right="14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4. Granting of a moratorium ('Grace Period' during which Personal Income Tax collection is </w:t>
      </w:r>
      <w:r>
        <w:rPr>
          <w:rFonts w:hint="eastAsia" w:ascii="Calibri" w:hAnsi="Calibri" w:eastAsia="Calibri"/>
          <w:color w:val="000000"/>
          <w:sz w:val="25"/>
        </w:rPr>
        <w:t xml:space="preserve">suspended) to informal sector taxpayers to enable them to recover from the financial stress </w:t>
      </w:r>
      <w:r>
        <w:rPr>
          <w:rFonts w:hint="eastAsia" w:ascii="Calibri" w:hAnsi="Calibri" w:eastAsia="Calibri"/>
          <w:color w:val="000000"/>
          <w:sz w:val="25"/>
        </w:rPr>
        <w:t xml:space="preserve">caused by Covid-19 from 1st May 2020 to 30th June 2020.</w:t>
      </w:r>
    </w:p>
    <w:p>
      <w:pPr>
        <w:spacing w:before="18" w:after="0" w:line="374" w:lineRule="auto"/>
        <w:ind w:left="700" w:right="140" w:hanging="26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5. Suspension of all enforcement activities on tax defaulters in Informal Sector, Educational </w:t>
      </w:r>
      <w:r>
        <w:rPr>
          <w:rFonts w:hint="eastAsia" w:ascii="Calibri" w:hAnsi="Calibri" w:eastAsia="Calibri"/>
          <w:color w:val="000000"/>
          <w:sz w:val="25"/>
        </w:rPr>
        <w:t xml:space="preserve">Sector,Hospitality Sector,Low-Income Earners, and Property owners from 1st April to </w:t>
      </w:r>
      <w:r>
        <w:rPr>
          <w:rFonts w:hint="eastAsia" w:ascii="Calibri" w:hAnsi="Calibri" w:eastAsia="Calibri"/>
          <w:color w:val="000000"/>
          <w:sz w:val="25"/>
        </w:rPr>
        <w:t xml:space="preserve">30th of September 2020.</w:t>
      </w:r>
    </w:p>
    <w:p>
      <w:pPr>
        <w:spacing w:before="0" w:after="0" w:line="297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191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51 Ibid</w:t>
      </w:r>
    </w:p>
    <w:p>
      <w:pPr>
        <w:spacing w:before="0" w:after="0" w:line="235" w:lineRule="auto"/>
        <w:ind w:right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52 Press Statement on Palliatives Provisions and measures on Covid-19,July 30,2020,htpps://twitter.com/kwarairs/</w:t>
      </w:r>
      <w:r>
        <w:rPr>
          <w:rFonts w:hint="eastAsia" w:ascii="Calibri" w:hAnsi="Calibri" w:eastAsia="Calibri"/>
          <w:color w:val="000000"/>
          <w:sz w:val="25"/>
        </w:rPr>
        <w:t xml:space="preserve">status/1278716699395739648 accessed 11 July 2023</w:t>
      </w:r>
    </w:p>
    <w:p>
      <w:pPr>
        <w:spacing w:before="0" w:after="0" w:line="215" w:lineRule="auto"/>
        <w:ind w:right="120" w:firstLine="40"/>
        <w:jc w:val="both"/>
        <w:rPr>
          <w:sz w:val="25"/>
        </w:rPr>
        <w:sectPr>
          <w:headerReference w:type="default" r:id="R1ffffaf4c5ef40e9"/>
          <w:footerReference w:type="default" r:id="Rf6b6866e76b04b3b"/>
          <w:type w:val="continuous"/>
          <w:pgSz w:w="11900" w:h="18420" w:orient="portrait"/>
          <w:pgMar w:top="720" w:right="720" w:bottom="1440" w:left="720" w:header="360" w:footer="72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Press Release of Thursday July 30,2020</w:t>
      </w:r>
      <w:r>
        <w:rPr>
          <w:rFonts w:hint="eastAsia" w:ascii="Calibri" w:hAnsi="Calibri" w:eastAsia="Calibri"/>
          <w:color w:val="000000"/>
          <w:sz w:val="25"/>
        </w:rPr>
        <w:t xml:space="preserve">53 Press Statemnent on Palliatives Provisions and Measures on Covid-19, July 30,2020,htpps://twitter.com/</w:t>
      </w:r>
      <w:r>
        <w:rPr>
          <w:rFonts w:hint="eastAsia" w:ascii="Calibri" w:hAnsi="Calibri" w:eastAsia="Calibri"/>
          <w:color w:val="000000"/>
          <w:sz w:val="25"/>
        </w:rPr>
        <w:t xml:space="preserve">kwarairs/status/1278716699395739648 accessed 11 July 2022</w:t>
      </w:r>
    </w:p>
    <w:p>
      <w:pPr>
        <w:spacing w:before="0" w:after="0" w:line="383" w:lineRule="auto"/>
        <w:ind w:left="1100" w:right="560" w:hanging="3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6. Waiver of interest and penalty for High-Net-worth Individuals (HNIs) and Corporate </w:t>
      </w:r>
      <w:r>
        <w:rPr>
          <w:rFonts w:hint="eastAsia" w:ascii="Calibri" w:hAnsi="Calibri" w:eastAsia="Calibri"/>
          <w:color w:val="000000"/>
          <w:sz w:val="24"/>
        </w:rPr>
        <w:t xml:space="preserve">2020.</w:t>
      </w:r>
    </w:p>
    <w:p>
      <w:pPr>
        <w:spacing w:before="5" w:after="0" w:line="364" w:lineRule="auto"/>
        <w:ind w:left="1080" w:right="540" w:hanging="3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7.Implementation of alterative dispute resolution (ADR) in the process of tax recovery </w:t>
      </w:r>
      <w:r>
        <w:rPr>
          <w:rFonts w:hint="eastAsia" w:ascii="Calibri" w:hAnsi="Calibri" w:eastAsia="Calibri"/>
          <w:color w:val="000000"/>
          <w:sz w:val="24"/>
        </w:rPr>
        <w:t xml:space="preserve">under the guidance of Covid-19 safety measures.</w:t>
      </w:r>
    </w:p>
    <w:p>
      <w:pPr>
        <w:spacing w:before="0" w:after="0" w:line="316" w:lineRule="auto"/>
        <w:ind w:left="1100" w:right="520" w:hanging="3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8. Deployment of Personal Protective Equipment (PPE); Nose masks,face shields and hand </w:t>
      </w:r>
      <w:r>
        <w:rPr>
          <w:rFonts w:hint="eastAsia" w:ascii="Calibri" w:hAnsi="Calibri" w:eastAsia="Calibri"/>
          <w:color w:val="000000"/>
          <w:sz w:val="24"/>
        </w:rPr>
        <w:t xml:space="preserve">sanitizers to taxpayers and staff.</w:t>
      </w:r>
    </w:p>
    <w:p>
      <w:pPr>
        <w:spacing w:before="6" w:after="0" w:line="336" w:lineRule="auto"/>
        <w:ind w:left="1080" w:right="500" w:hanging="3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9. Introduction of Virtual meetings for the KW-IRS Management Team and different </w:t>
      </w:r>
      <w:r>
        <w:rPr>
          <w:rFonts w:hint="eastAsia" w:ascii="Calibri" w:hAnsi="Calibri" w:eastAsia="Calibri"/>
          <w:color w:val="000000"/>
          <w:sz w:val="24"/>
        </w:rPr>
        <w:t xml:space="preserve">Committees.</w:t>
      </w:r>
    </w:p>
    <w:p>
      <w:pPr>
        <w:spacing w:before="0" w:after="0" w:line="350" w:lineRule="auto"/>
        <w:ind w:left="1080" w:right="500" w:hanging="3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10. Reduction in the workforce by a way of duty schedule to allow for compliance to physical </w:t>
      </w:r>
      <w:r>
        <w:rPr>
          <w:rFonts w:hint="eastAsia" w:ascii="Calibri" w:hAnsi="Calibri" w:eastAsia="Calibri"/>
          <w:color w:val="000000"/>
          <w:sz w:val="24"/>
        </w:rPr>
        <w:t xml:space="preserve">distancing in our offices.</w:t>
      </w:r>
    </w:p>
    <w:p>
      <w:pPr>
        <w:spacing w:before="1" w:after="0" w:line="340" w:lineRule="auto"/>
        <w:ind w:left="1040" w:right="460" w:hanging="3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11.Deployment of temperature monitors, wash hand basins with running water and soap and </w:t>
      </w:r>
      <w:r>
        <w:rPr>
          <w:rFonts w:hint="eastAsia" w:ascii="Calibri" w:hAnsi="Calibri" w:eastAsia="Calibri"/>
          <w:color w:val="000000"/>
          <w:sz w:val="24"/>
        </w:rPr>
        <w:t xml:space="preserve">hand sanitizers across our offices.</w:t>
      </w:r>
    </w:p>
    <w:p>
      <w:pPr>
        <w:spacing w:before="5" w:after="0" w:line="350" w:lineRule="auto"/>
        <w:ind w:left="1020" w:right="460" w:hanging="34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12. Encouragement of taxpayers to make payments to the Kwara State IGR Accounts via </w:t>
      </w:r>
      <w:r>
        <w:rPr>
          <w:rFonts w:hint="eastAsia" w:ascii="Calibri" w:hAnsi="Calibri" w:eastAsia="Calibri"/>
          <w:color w:val="000000"/>
          <w:sz w:val="24"/>
        </w:rPr>
        <w:t xml:space="preserve">PAYDIRECT at any of the local commercial banks.54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25" w:lineRule="auto"/>
        <w:ind w:left="720" w:right="440" w:hanging="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For further enquiry and assistance as it relates to Revenue payments, taxpayers were also </w:t>
      </w:r>
      <w:r>
        <w:rPr>
          <w:rFonts w:hint="eastAsia" w:ascii="Calibri" w:hAnsi="Calibri" w:eastAsia="Calibri"/>
          <w:color w:val="000000"/>
          <w:sz w:val="24"/>
        </w:rPr>
        <w:t xml:space="preserve">furnished with the Telephone number, Email address and the website of the KW-IRS.55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63" w:lineRule="auto"/>
        <w:ind w:left="200" w:right="420"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above measures were in response to the reality that the entire world was going through a tough </w:t>
      </w:r>
      <w:r>
        <w:rPr>
          <w:rFonts w:hint="eastAsia" w:ascii="Calibri" w:hAnsi="Calibri" w:eastAsia="Calibri"/>
          <w:color w:val="000000"/>
          <w:sz w:val="24"/>
        </w:rPr>
        <w:t xml:space="preserve">time and the need for everyone to adjust to the new situation and abide by all the safety guidelines </w:t>
      </w:r>
      <w:r>
        <w:rPr>
          <w:rFonts w:hint="eastAsia" w:ascii="Calibri" w:hAnsi="Calibri" w:eastAsia="Calibri"/>
          <w:color w:val="000000"/>
          <w:sz w:val="24"/>
        </w:rPr>
        <w:t xml:space="preserve">as provided by the State Government. At least seven out of the twelve measures stand out as </w:t>
      </w:r>
      <w:r>
        <w:rPr>
          <w:rFonts w:hint="eastAsia" w:ascii="Calibri" w:hAnsi="Calibri" w:eastAsia="Calibri"/>
          <w:color w:val="000000"/>
          <w:sz w:val="24"/>
        </w:rPr>
        <w:t xml:space="preserve">touching on safeguarding the total collapse of the economy. They are.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5" w:after="0" w:line="336" w:lineRule="auto"/>
        <w:ind w:left="760" w:right="400" w:firstLine="1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i.Extension of deadline for filing of annual returns for six months from 31st March to 30th </w:t>
      </w:r>
      <w:r>
        <w:rPr>
          <w:rFonts w:hint="eastAsia" w:ascii="Calibri" w:hAnsi="Calibri" w:eastAsia="Calibri"/>
          <w:color w:val="000000"/>
          <w:sz w:val="24"/>
        </w:rPr>
        <w:t xml:space="preserve">September 2020 to enhance payment by taxpayers.</w:t>
      </w:r>
    </w:p>
    <w:p>
      <w:pPr>
        <w:spacing w:before="0" w:after="0" w:line="307" w:lineRule="auto"/>
        <w:ind w:left="900" w:right="400" w:hanging="1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ii. 30% waiver on arrears on ground rent and land charge for property owners to encourage </w:t>
      </w:r>
      <w:r>
        <w:rPr>
          <w:rFonts w:hint="eastAsia" w:ascii="Calibri" w:hAnsi="Calibri" w:eastAsia="Calibri"/>
          <w:color w:val="000000"/>
          <w:sz w:val="24"/>
        </w:rPr>
        <w:t xml:space="preserve">payment of tax.</w:t>
      </w:r>
    </w:p>
    <w:p>
      <w:pPr>
        <w:spacing w:before="167" w:after="0" w:line="336" w:lineRule="auto"/>
        <w:ind w:left="840" w:right="360" w:hanging="20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iii. Granting moratorium (temporary suspension) to informal sector taxpayers, to enable </w:t>
      </w:r>
      <w:r>
        <w:rPr>
          <w:rFonts w:hint="eastAsia" w:ascii="Calibri" w:hAnsi="Calibri" w:eastAsia="Calibri"/>
          <w:color w:val="000000"/>
          <w:sz w:val="24"/>
        </w:rPr>
        <w:t xml:space="preserve">them recover from the financial stress caused by Covid-19 during the lockdown from 1st </w:t>
      </w:r>
      <w:r>
        <w:rPr>
          <w:rFonts w:hint="eastAsia" w:ascii="Calibri" w:hAnsi="Calibri" w:eastAsia="Calibri"/>
          <w:color w:val="000000"/>
          <w:sz w:val="24"/>
        </w:rPr>
        <w:t xml:space="preserve">May 2020 to 30th June 2020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68" w:after="0" w:line="283" w:lineRule="auto"/>
        <w:ind w:firstLine="80"/>
        <w:jc w:val="both"/>
        <w:rPr>
          <w:sz w:val="22"/>
        </w:rPr>
      </w:pPr>
      <w:r>
        <w:rPr>
          <w:rFonts w:hint="eastAsia" w:ascii="Calibri" w:hAnsi="Calibri" w:eastAsia="Calibri"/>
          <w:u w:val="single"/>
          <w:color w:val="000000"/>
          <w:sz w:val="22"/>
        </w:rPr>
        <w:t xml:space="preserve">                             </w:t>
      </w:r>
    </w:p>
    <w:p>
      <w:pPr>
        <w:spacing w:before="102" w:after="0" w:line="263" w:lineRule="auto"/>
        <w:ind w:firstLine="2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54 Press Release signed by Shade Omoniyi Executive Chairman of KWIRS</w:t>
      </w:r>
    </w:p>
    <w:p>
      <w:pPr>
        <w:spacing w:before="3" w:after="0" w:line="302" w:lineRule="auto"/>
        <w:ind w:firstLine="0"/>
        <w:jc w:val="both"/>
        <w:rPr>
          <w:sz w:val="22"/>
        </w:rPr>
        <w:sectPr>
          <w:headerReference w:type="default" r:id="R5ce1c15fa6f242fe"/>
          <w:footerReference w:type="default" r:id="R2773c87a0592450d"/>
          <w:type w:val="continuous"/>
          <w:pgSz w:w="11900" w:h="1726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2"/>
        </w:rPr>
        <w:t xml:space="preserve">55 Telephone:07006959477,Email:Info@kw-irs.com,Website:www.kw-irs.com</w:t>
      </w:r>
    </w:p>
    <w:p>
      <w:pPr>
        <w:spacing w:before="0" w:after="0" w:line="345" w:lineRule="auto"/>
        <w:ind w:left="1100" w:right="20" w:hanging="2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iv. Suspension of all enforcement activities on tax defaulters in informal sector, Educational </w:t>
      </w:r>
      <w:r>
        <w:rPr>
          <w:rFonts w:hint="eastAsia" w:ascii="Calibri" w:hAnsi="Calibri" w:eastAsia="Calibri"/>
          <w:color w:val="000000"/>
          <w:sz w:val="25"/>
        </w:rPr>
        <w:t xml:space="preserve">Sector,Hospitality Sector,Low Income Earners, and Property owners from 1st April-30th </w:t>
      </w:r>
      <w:r>
        <w:rPr>
          <w:rFonts w:hint="eastAsia" w:ascii="Calibri" w:hAnsi="Calibri" w:eastAsia="Calibri"/>
          <w:color w:val="000000"/>
          <w:sz w:val="25"/>
        </w:rPr>
        <w:t xml:space="preserve">September 2020</w:t>
      </w:r>
    </w:p>
    <w:p>
      <w:pPr>
        <w:spacing w:before="0" w:after="0" w:line="354" w:lineRule="auto"/>
        <w:ind w:firstLine="11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v. Waiver of interest and penalty for High-Net-Worth Individuals (HNIs) and Corporate</w:t>
      </w:r>
    </w:p>
    <w:p>
      <w:pPr>
        <w:spacing w:before="5" w:after="0" w:line="340" w:lineRule="auto"/>
        <w:ind w:left="1080" w:right="40" w:firstLine="78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Organisations that pay up their tax arrears by 30th September 2020penalties and </w:t>
      </w:r>
      <w:r>
        <w:rPr>
          <w:rFonts w:hint="eastAsia" w:ascii="Calibri" w:hAnsi="Calibri" w:eastAsia="Calibri"/>
          <w:color w:val="000000"/>
          <w:sz w:val="25"/>
        </w:rPr>
        <w:t xml:space="preserve">interest for high paying taxpayers and corporate organisations to encourage citizens to pay </w:t>
      </w:r>
      <w:r>
        <w:rPr>
          <w:rFonts w:hint="eastAsia" w:ascii="Calibri" w:hAnsi="Calibri" w:eastAsia="Calibri"/>
          <w:color w:val="000000"/>
          <w:sz w:val="25"/>
        </w:rPr>
        <w:t xml:space="preserve">their taxes.</w:t>
      </w:r>
    </w:p>
    <w:p>
      <w:pPr>
        <w:spacing w:before="55" w:after="0" w:line="336" w:lineRule="auto"/>
        <w:ind w:left="1040" w:right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vi.Implementation of alternative dispute resolution (ADR) in the process of tax recovery </w:t>
      </w:r>
      <w:r>
        <w:rPr>
          <w:rFonts w:hint="eastAsia" w:ascii="Calibri" w:hAnsi="Calibri" w:eastAsia="Calibri"/>
          <w:color w:val="000000"/>
          <w:sz w:val="25"/>
        </w:rPr>
        <w:t xml:space="preserve">under the guidance of covid-19 safety measures and</w:t>
      </w:r>
    </w:p>
    <w:p>
      <w:pPr>
        <w:spacing w:before="185" w:after="0" w:line="336" w:lineRule="auto"/>
        <w:ind w:left="1000" w:right="40" w:hanging="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Encouragement of taxpayers to make payment to the Kwara State IGR account via </w:t>
      </w:r>
      <w:r>
        <w:rPr>
          <w:rFonts w:hint="eastAsia" w:ascii="Calibri" w:hAnsi="Calibri" w:eastAsia="Calibri"/>
          <w:color w:val="000000"/>
          <w:sz w:val="25"/>
        </w:rPr>
        <w:t xml:space="preserve">PAYDIRECT at any of the local commercial banks.</w:t>
      </w:r>
    </w:p>
    <w:p>
      <w:pPr>
        <w:spacing w:before="240" w:after="0" w:line="350" w:lineRule="auto"/>
        <w:ind w:left="220" w:right="6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Kwara State government generated N30.7 billion in 2019 but this dropped to N19.604billion </w:t>
      </w:r>
      <w:r>
        <w:rPr>
          <w:rFonts w:hint="eastAsia" w:ascii="Calibri" w:hAnsi="Calibri" w:eastAsia="Calibri"/>
          <w:color w:val="000000"/>
          <w:sz w:val="25"/>
        </w:rPr>
        <w:t xml:space="preserve">in 2020, a 56 percent decrease. However, there was remarkable improvement in the revenue </w:t>
      </w:r>
      <w:r>
        <w:rPr>
          <w:rFonts w:hint="eastAsia" w:ascii="Calibri" w:hAnsi="Calibri" w:eastAsia="Calibri"/>
          <w:color w:val="000000"/>
          <w:sz w:val="25"/>
        </w:rPr>
        <w:t xml:space="preserve">generated in 2021 when a total of N29.96 billion was generated, representing 95.61 percent </w:t>
      </w:r>
      <w:r>
        <w:rPr>
          <w:rFonts w:hint="eastAsia" w:ascii="Calibri" w:hAnsi="Calibri" w:eastAsia="Calibri"/>
          <w:color w:val="000000"/>
          <w:sz w:val="25"/>
        </w:rPr>
        <w:t xml:space="preserve">achievement of its annual budgetary target.56</w:t>
      </w:r>
    </w:p>
    <w:p>
      <w:pPr>
        <w:spacing w:before="191" w:after="0" w:line="340" w:lineRule="auto"/>
        <w:ind w:firstLine="2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7.0 Good Corporate Governance Measures and Global Best Tax Practice</w:t>
      </w:r>
    </w:p>
    <w:p>
      <w:pPr>
        <w:spacing w:before="0" w:after="0" w:line="278" w:lineRule="auto"/>
        <w:ind w:firstLine="130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7.1 Good Corporate Governance Measures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7" w:after="0" w:line="345" w:lineRule="auto"/>
        <w:ind w:left="160" w:right="4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Good corporate governance is the art of directing and controlling the organisation by balancing </w:t>
      </w:r>
      <w:r>
        <w:rPr>
          <w:rFonts w:hint="eastAsia" w:ascii="Calibri" w:hAnsi="Calibri" w:eastAsia="Calibri"/>
          <w:color w:val="000000"/>
          <w:sz w:val="25"/>
        </w:rPr>
        <w:t xml:space="preserve">the needs of the various stakeholders.57 The Cadbury Report58 which was released in the UK in </w:t>
      </w:r>
      <w:r>
        <w:rPr>
          <w:rFonts w:hint="eastAsia" w:ascii="Calibri" w:hAnsi="Calibri" w:eastAsia="Calibri"/>
          <w:color w:val="000000"/>
          <w:sz w:val="25"/>
        </w:rPr>
        <w:t xml:space="preserve">1991 outlined that.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75" w:after="0" w:line="336" w:lineRule="auto"/>
        <w:ind w:firstLine="17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Corporate governance is the system by which businesses.</w:t>
      </w:r>
    </w:p>
    <w:p>
      <w:pPr>
        <w:spacing w:before="171" w:after="0" w:line="336" w:lineRule="auto"/>
        <w:ind w:firstLine="17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are directed and controlled and a key factor in underpinning.</w:t>
      </w:r>
    </w:p>
    <w:p>
      <w:pPr>
        <w:spacing w:before="211" w:after="0" w:line="336" w:lineRule="auto"/>
        <w:ind w:firstLine="17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integrity and efficiency of a company. The core principles</w:t>
      </w:r>
    </w:p>
    <w:p>
      <w:pPr>
        <w:spacing w:before="211" w:after="0" w:line="336" w:lineRule="auto"/>
        <w:ind w:firstLine="168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of good corporate governance are,fairness,accountability,</w:t>
      </w:r>
    </w:p>
    <w:p>
      <w:pPr>
        <w:spacing w:before="191" w:after="0" w:line="336" w:lineRule="auto"/>
        <w:ind w:firstLine="16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responsibility and transparency.59</w:t>
      </w:r>
    </w:p>
    <w:p>
      <w:pPr>
        <w:spacing w:before="211" w:after="0" w:line="336" w:lineRule="auto"/>
        <w:ind w:firstLine="1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Let us examine each of the core principles of good corporate governance.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38" w:after="0" w:line="336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249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56 This was the highest target hit since the agency was founded in 2015.</w:t>
      </w:r>
    </w:p>
    <w:p>
      <w:pPr>
        <w:spacing w:before="41" w:after="0" w:line="244" w:lineRule="auto"/>
        <w:ind w:firstLine="2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57 &lt;https://www.managementstudyguide.com&gt; accessed November 15,2022</w:t>
      </w:r>
    </w:p>
    <w:p>
      <w:pPr>
        <w:spacing w:before="0" w:after="0" w:line="191" w:lineRule="auto"/>
        <w:ind w:firstLine="20"/>
        <w:jc w:val="both"/>
        <w:rPr>
          <w:sz w:val="22"/>
        </w:rPr>
      </w:pPr>
      <w:r>
        <w:rPr>
          <w:rFonts w:hint="eastAsia" w:ascii="Calibri" w:hAnsi="Calibri" w:eastAsia="Calibri"/>
          <w:color w:val="000000"/>
          <w:sz w:val="22"/>
        </w:rPr>
        <w:t xml:space="preserve">58&lt;https://www.jbs.cam.ac.uk/cadbury/report/index.html&gt;</w:t>
      </w:r>
    </w:p>
    <w:p>
      <w:pPr>
        <w:spacing w:before="9" w:after="0" w:line="302" w:lineRule="auto"/>
        <w:ind w:firstLine="20"/>
        <w:jc w:val="both"/>
        <w:rPr>
          <w:sz w:val="22"/>
        </w:rPr>
        <w:sectPr>
          <w:headerReference w:type="default" r:id="R5f8b2d97ec0e49fd"/>
          <w:footerReference w:type="default" r:id="Rc65e435efc434ac0"/>
          <w:type w:val="continuous"/>
          <w:pgSz w:w="11900" w:h="1848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2"/>
        </w:rPr>
        <w:t xml:space="preserve">59 The Core Principles of Good Corporate Governance Wed 19 February 2014 Pearse Trust</w:t>
      </w:r>
    </w:p>
    <w:p>
      <w:pPr>
        <w:spacing w:before="0" w:after="0" w:line="273" w:lineRule="auto"/>
        <w:ind w:firstLine="1020"/>
        <w:jc w:val="both"/>
        <w:rPr>
          <w:sz w:val="24"/>
        </w:rPr>
      </w:pPr>
      <w:r>
        <w:rPr>
          <w:rFonts w:hint="eastAsia" w:ascii="Calibri" w:hAnsi="Calibri" w:eastAsia="Calibri"/>
          <w:b/>
          <w:color w:val="000000"/>
          <w:sz w:val="24"/>
        </w:rPr>
        <w:t xml:space="preserve">(a)Fairness:</w: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508000</wp:posOffset>
                </wp:positionH>
                <wp:positionV relativeFrom="page">
                  <wp:posOffset>8864600</wp:posOffset>
                </wp:positionV>
                <wp:extent cx="1993900" cy="254000"/>
                <wp:effectExtent l="0" t="0" r="635" b="14605"/>
                <wp:wrapNone/>
                <wp:docPr id="1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332" w:lineRule="auto"/>
                              <w:ind w:firstLine="0"/>
                              <w:jc w:val="both"/>
                              <w:rPr>
                                <w:sz w:val="21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u w:val="single"/>
                                <w:color w:val="000000"/>
                                <w:sz w:val="21"/>
                              </w:rPr>
                              <w:t xml:space="preserve">                            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3" style="position:absolute;left:0pt;margin-left:40.0pt;margin-top:698.0pt;height:20.0pt;width:157.0pt;z-index:638750246566944360;mso-width-relative:page;mso-height-relative:page;mso-position-vertical-relative:page;mso-position-horizontal-relative:page;" coordsize="21600,21600" o:spid="_x0000_s13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332" w:lineRule="auto"/>
                        <w:ind w:firstLine="0"/>
                        <w:jc w:val="both"/>
                        <w:rPr>
                          <w:sz w:val="21"/>
                        </w:rPr>
                      </w:pPr>
                      <w:r>
                        <w:rPr>
                          <w:rFonts w:hint="eastAsia" w:ascii="Calibri" w:hAnsi="Calibri" w:eastAsia="Calibri"/>
                          <w:u w:val="single"/>
                          <w:color w:val="000000"/>
                          <w:sz w:val="21"/>
                        </w:rPr>
                        <w:t xml:space="preserve">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ge">
                  <wp:posOffset>9093200</wp:posOffset>
                </wp:positionV>
                <wp:extent cx="6375400" cy="762000"/>
                <wp:effectExtent l="0" t="0" r="635" b="14605"/>
                <wp:wrapNone/>
                <wp:docPr id="14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470" w:lineRule="auto"/>
                              <w:ind w:firstLine="2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60 Prnciples of Good Corporate Govemance &lt;https://www.pearse-trust.ie/blog/bid/108866/the-core-principles-of-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good-corporate-governance&gt; accessed January 5 2023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5" style="position:absolute;left:0pt;margin-left:36.0pt;margin-top:716.0pt;height:60.0pt;width:502.0pt;z-index:638750246566945071;mso-width-relative:page;mso-height-relative:page;mso-position-vertical-relative:page;mso-position-horizontal-relative:page;" coordsize="21600,21600" o:spid="_x0000_s15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470" w:lineRule="auto"/>
                        <w:ind w:firstLine="2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60 Prnciples of Good Corporate Govemance &lt;https://www.pearse-trust.ie/blog/bid/108866/the-core-principles-of-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good-corporate-governance&gt; accessed January 5 2023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24" w:after="0" w:line="383" w:lineRule="auto"/>
        <w:ind w:left="840" w:right="20" w:firstLine="1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Faimess refers to equal treatment of all stakcholders, including employees, communities,and </w:t>
      </w:r>
      <w:r>
        <w:rPr>
          <w:rFonts w:hint="eastAsia" w:ascii="Calibri" w:hAnsi="Calibri" w:eastAsia="Calibri"/>
          <w:color w:val="000000"/>
          <w:sz w:val="24"/>
        </w:rPr>
        <w:t xml:space="preserve">the pressure of interested parties,6o When we link this principle with the relationship between tax </w:t>
      </w:r>
      <w:r>
        <w:rPr>
          <w:rFonts w:hint="eastAsia" w:ascii="Calibri" w:hAnsi="Calibri" w:eastAsia="Calibri"/>
          <w:color w:val="000000"/>
          <w:sz w:val="24"/>
        </w:rPr>
        <w:t xml:space="preserve">taxpayers in the same category should be treated equally. If tax authoritiesabide by this principle,</w:t>
      </w:r>
      <w:r>
        <w:rPr>
          <w:rFonts w:hint="eastAsia" w:ascii="Calibri" w:hAnsi="Calibri" w:eastAsia="Calibri"/>
          <w:color w:val="000000"/>
          <w:sz w:val="24"/>
        </w:rPr>
        <w:t xml:space="preserve">taxpayers will comply more with tax laws,and this will result in more revenue for the government.</w:t>
      </w:r>
    </w:p>
    <w:p>
      <w:pPr>
        <w:spacing w:before="0" w:after="0" w:line="259" w:lineRule="auto"/>
        <w:ind w:firstLine="8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b)Accountability</w:t>
      </w:r>
    </w:p>
    <w:p>
      <w:pPr>
        <w:spacing w:before="43" w:after="0" w:line="383" w:lineRule="auto"/>
        <w:ind w:left="780" w:right="10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Corporate accountability refers to the obligation and responsibility to give an explanation or reason </w:t>
      </w:r>
      <w:r>
        <w:rPr>
          <w:rFonts w:hint="eastAsia" w:ascii="Calibri" w:hAnsi="Calibri" w:eastAsia="Calibri"/>
          <w:color w:val="000000"/>
          <w:sz w:val="24"/>
        </w:rPr>
        <w:t xml:space="preserve">for the company's actions and conduct.</w:t>
      </w:r>
    </w:p>
    <w:p>
      <w:pPr>
        <w:spacing w:before="164" w:after="0" w:line="355" w:lineRule="auto"/>
        <w:ind w:left="1380" w:right="12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should present a balanced and understandable assessment of the company's </w:t>
      </w:r>
      <w:r>
        <w:rPr>
          <w:rFonts w:hint="eastAsia" w:ascii="Calibri" w:hAnsi="Calibri" w:eastAsia="Calibri"/>
          <w:color w:val="000000"/>
          <w:sz w:val="24"/>
        </w:rPr>
        <w:t xml:space="preserve">position and prospects.</w:t>
      </w:r>
    </w:p>
    <w:p>
      <w:pPr>
        <w:spacing w:before="9" w:after="0" w:line="331" w:lineRule="auto"/>
        <w:ind w:left="1380" w:right="160" w:firstLine="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is responsible for determining the nature and extent of the significant risks it is </w:t>
      </w:r>
      <w:r>
        <w:rPr>
          <w:rFonts w:hint="eastAsia" w:ascii="Calibri" w:hAnsi="Calibri" w:eastAsia="Calibri"/>
          <w:color w:val="000000"/>
          <w:sz w:val="24"/>
        </w:rPr>
        <w:t xml:space="preserve">willing to take.</w:t>
      </w:r>
    </w:p>
    <w:p>
      <w:pPr>
        <w:spacing w:before="8" w:after="0" w:line="355" w:lineRule="auto"/>
        <w:ind w:firstLine="13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should maintain sound risk management and internal control systems.</w:t>
      </w:r>
    </w:p>
    <w:p>
      <w:pPr>
        <w:spacing w:before="4" w:after="0" w:line="336" w:lineRule="auto"/>
        <w:ind w:left="1240" w:right="220" w:firstLine="6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should establish formal and transparent arrangements for corporate reporting </w:t>
      </w:r>
      <w:r>
        <w:rPr>
          <w:rFonts w:hint="eastAsia" w:ascii="Calibri" w:hAnsi="Calibri" w:eastAsia="Calibri"/>
          <w:color w:val="000000"/>
          <w:sz w:val="24"/>
        </w:rPr>
        <w:t xml:space="preserve">and risk management and for maintaining an appropriate relationship with the company's </w:t>
      </w:r>
      <w:r>
        <w:rPr>
          <w:rFonts w:hint="eastAsia" w:ascii="Calibri" w:hAnsi="Calibri" w:eastAsia="Calibri"/>
          <w:color w:val="000000"/>
          <w:sz w:val="24"/>
        </w:rPr>
        <w:t xml:space="preserve">auditor,and</w:t>
      </w:r>
    </w:p>
    <w:p>
      <w:pPr>
        <w:spacing w:before="0" w:after="0" w:line="273" w:lineRule="auto"/>
        <w:ind w:left="1200" w:right="280" w:firstLine="4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should communicate with stakeholders at regular intervals, a fair, balancedand </w:t>
      </w:r>
      <w:r>
        <w:rPr>
          <w:rFonts w:hint="eastAsia" w:ascii="Calibri" w:hAnsi="Calibri" w:eastAsia="Calibri"/>
          <w:color w:val="000000"/>
          <w:sz w:val="24"/>
        </w:rPr>
        <w:t xml:space="preserve">understandable assessment of how the company is achieving its business purpose.</w:t>
      </w:r>
    </w:p>
    <w:p>
      <w:pPr>
        <w:spacing w:before="37" w:after="0" w:line="311" w:lineRule="auto"/>
        <w:ind w:firstLine="80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a) Responsibility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7" w:after="0" w:line="383" w:lineRule="auto"/>
        <w:ind w:left="220" w:right="300" w:firstLine="12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The Board of Directors is given the authority to act on behalf ofthe company. They should </w:t>
      </w:r>
      <w:r>
        <w:rPr>
          <w:rFonts w:hint="eastAsia" w:ascii="Calibri" w:hAnsi="Calibri" w:eastAsia="Calibri"/>
          <w:color w:val="000000"/>
          <w:sz w:val="24"/>
        </w:rPr>
        <w:t xml:space="preserve">therefore accept full responsibility for the powers that it is given and the authority that it exercises.</w:t>
      </w:r>
      <w:r>
        <w:rPr>
          <w:rFonts w:hint="eastAsia" w:ascii="Calibri" w:hAnsi="Calibri" w:eastAsia="Calibri"/>
          <w:color w:val="000000"/>
          <w:sz w:val="24"/>
        </w:rPr>
        <w:t xml:space="preserve">The Board of Directors is responsible for overseeing the management of the business and affairs </w:t>
      </w:r>
      <w:r>
        <w:rPr>
          <w:rFonts w:hint="eastAsia" w:ascii="Calibri" w:hAnsi="Calibri" w:eastAsia="Calibri"/>
          <w:color w:val="000000"/>
          <w:sz w:val="24"/>
        </w:rPr>
        <w:t xml:space="preserve">of the company,appointing the chief executive, and monitoring the performance of the company.</w:t>
      </w:r>
      <w:r>
        <w:rPr>
          <w:rFonts w:hint="eastAsia" w:ascii="Calibri" w:hAnsi="Calibri" w:eastAsia="Calibri"/>
          <w:color w:val="000000"/>
          <w:sz w:val="24"/>
        </w:rPr>
        <w:t xml:space="preserve">In doing so, it is required to act in the best interests of the company.</w:t>
      </w:r>
    </w:p>
    <w:p>
      <w:pPr>
        <w:spacing w:before="10" w:after="0" w:line="383" w:lineRule="auto"/>
        <w:ind w:left="120" w:right="360" w:hanging="40" w:firstLine="0"/>
        <w:jc w:val="both"/>
        <w:rPr>
          <w:sz w:val="24"/>
        </w:rPr>
        <w:sectPr>
          <w:headerReference w:type="default" r:id="R926051d6ed8348b0"/>
          <w:footerReference w:type="default" r:id="Re2f3a161bca54df2"/>
          <w:type w:val="continuous"/>
          <w:pgSz w:w="11900" w:h="18060" w:orient="portrait"/>
          <w:pgMar w:top="720" w:right="720" w:bottom="1440" w:left="720" w:header="360" w:footer="72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Accountability goes hand in hand with responsibility. The Board of Directors should be made </w:t>
      </w:r>
      <w:r>
        <w:rPr>
          <w:rFonts w:hint="eastAsia" w:ascii="Calibri" w:hAnsi="Calibri" w:eastAsia="Calibri"/>
          <w:color w:val="000000"/>
          <w:sz w:val="24"/>
        </w:rPr>
        <w:t xml:space="preserve">accountable to the shareholders for the way in which the company has carried out its </w:t>
      </w:r>
      <w:r>
        <w:rPr>
          <w:rFonts w:hint="eastAsia" w:ascii="Calibri" w:hAnsi="Calibri" w:eastAsia="Calibri"/>
          <w:color w:val="000000"/>
          <w:sz w:val="24"/>
        </w:rPr>
        <w:t xml:space="preserve">responsibilities. However, the LIRS and the KWIRS, like other tax authorities in Nigeria, are</w:t>
      </w:r>
    </w:p>
    <w:p>
      <w:pPr>
        <w:spacing w:before="0" w:after="0" w:line="268" w:lineRule="auto"/>
        <w:ind w:left="240" w:right="2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responsible to the government because the executives are appointed to their offices by their </w:t>
      </w:r>
      <w:r>
        <w:rPr>
          <w:rFonts w:hint="eastAsia" w:ascii="Calibri" w:hAnsi="Calibri" w:eastAsia="Calibri"/>
          <w:color w:val="000000"/>
          <w:sz w:val="25"/>
        </w:rPr>
        <w:t xml:space="preserve">respective state governments. However, in the case of the FIRS the chief executives are appointed </w:t>
      </w:r>
      <w:r>
        <w:rPr>
          <w:rFonts w:hint="eastAsia" w:ascii="Calibri" w:hAnsi="Calibri" w:eastAsia="Calibri"/>
          <w:color w:val="000000"/>
          <w:sz w:val="25"/>
        </w:rPr>
        <w:t xml:space="preserve">by the President. They, therefore, owe their allegiance to the president or governor that appoints </w:t>
      </w:r>
      <w:r>
        <w:rPr>
          <w:rFonts w:hint="eastAsia" w:ascii="Calibri" w:hAnsi="Calibri" w:eastAsia="Calibri"/>
          <w:color w:val="000000"/>
          <w:sz w:val="25"/>
        </w:rPr>
        <w:t xml:space="preserve">them. This is in tandem with the dictum which says, 'he who pays the piper dictates the tune.'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3" w:after="0" w:line="336" w:lineRule="auto"/>
        <w:ind w:firstLine="2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d) Transparency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67" w:after="0" w:line="350" w:lineRule="auto"/>
        <w:ind w:left="160" w:right="40" w:firstLine="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Transparency refers to the openness and willingness to disclose financial performance figures </w:t>
      </w:r>
      <w:r>
        <w:rPr>
          <w:rFonts w:hint="eastAsia" w:ascii="Calibri" w:hAnsi="Calibri" w:eastAsia="Calibri"/>
          <w:color w:val="000000"/>
          <w:sz w:val="25"/>
        </w:rPr>
        <w:t xml:space="preserve">which are truthful and accurate. Disclosure of material matters concerning the organisation's </w:t>
      </w:r>
      <w:r>
        <w:rPr>
          <w:rFonts w:hint="eastAsia" w:ascii="Calibri" w:hAnsi="Calibri" w:eastAsia="Calibri"/>
          <w:color w:val="000000"/>
          <w:sz w:val="25"/>
        </w:rPr>
        <w:t xml:space="preserve">performance and activities should be timely and accurate to ensurethat all investors have access </w:t>
      </w:r>
      <w:r>
        <w:rPr>
          <w:rFonts w:hint="eastAsia" w:ascii="Calibri" w:hAnsi="Calibri" w:eastAsia="Calibri"/>
          <w:color w:val="000000"/>
          <w:sz w:val="25"/>
        </w:rPr>
        <w:t xml:space="preserve">to clear,information which accurately reflects the financial, social, and environmental position of </w:t>
      </w:r>
      <w:r>
        <w:rPr>
          <w:rFonts w:hint="eastAsia" w:ascii="Calibri" w:hAnsi="Calibri" w:eastAsia="Calibri"/>
          <w:color w:val="000000"/>
          <w:sz w:val="25"/>
        </w:rPr>
        <w:t xml:space="preserve">the organisation. Organisations should clarify and make publicly known the roles and </w:t>
      </w:r>
      <w:r>
        <w:rPr>
          <w:rFonts w:hint="eastAsia" w:ascii="Calibri" w:hAnsi="Calibri" w:eastAsia="Calibri"/>
          <w:color w:val="000000"/>
          <w:sz w:val="25"/>
        </w:rPr>
        <w:t xml:space="preserve">responsibilities of the board and management to provide shareholders with a level of </w:t>
      </w:r>
      <w:r>
        <w:rPr>
          <w:rFonts w:hint="eastAsia" w:ascii="Calibri" w:hAnsi="Calibri" w:eastAsia="Calibri"/>
          <w:color w:val="000000"/>
          <w:sz w:val="25"/>
        </w:rPr>
        <w:t xml:space="preserve">accountability. Transparency ensures that stakeholders can have confidence in the decision-</w:t>
      </w:r>
      <w:r>
        <w:rPr>
          <w:rFonts w:hint="eastAsia" w:ascii="Calibri" w:hAnsi="Calibri" w:eastAsia="Calibri"/>
          <w:color w:val="000000"/>
          <w:sz w:val="25"/>
        </w:rPr>
        <w:t xml:space="preserve">making and management processes of a company.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61" w:after="0" w:line="336" w:lineRule="auto"/>
        <w:ind w:firstLine="96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7.2Global best practice in Tax Administration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02" w:lineRule="auto"/>
        <w:ind w:left="80" w:right="60" w:firstLine="8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Tax administration is a complex phenomenon and good governance has been described as key to </w:t>
      </w:r>
      <w:r>
        <w:rPr>
          <w:rFonts w:hint="eastAsia" w:ascii="Calibri" w:hAnsi="Calibri" w:eastAsia="Calibri"/>
          <w:color w:val="000000"/>
          <w:sz w:val="25"/>
        </w:rPr>
        <w:t xml:space="preserve">its effective and efficient functioning.61 This has engendered several international initiatives being </w:t>
      </w:r>
      <w:r>
        <w:rPr>
          <w:rFonts w:hint="eastAsia" w:ascii="Calibri" w:hAnsi="Calibri" w:eastAsia="Calibri"/>
          <w:color w:val="000000"/>
          <w:sz w:val="25"/>
        </w:rPr>
        <w:t xml:space="preserve">taken to establish good practices and set an international benchmark in assessing tax </w:t>
      </w:r>
      <w:r>
        <w:rPr>
          <w:rFonts w:hint="eastAsia" w:ascii="Calibri" w:hAnsi="Calibri" w:eastAsia="Calibri"/>
          <w:color w:val="000000"/>
          <w:sz w:val="25"/>
        </w:rPr>
        <w:t xml:space="preserve">administration. 62While tax burden is always one of the primary concerns for corporate </w:t>
      </w:r>
      <w:r>
        <w:rPr>
          <w:rFonts w:hint="eastAsia" w:ascii="Calibri" w:hAnsi="Calibri" w:eastAsia="Calibri"/>
          <w:color w:val="000000"/>
          <w:sz w:val="25"/>
        </w:rPr>
        <w:t xml:space="preserve">management and finance, it is questionable whether tax has always been among the core factors </w:t>
      </w:r>
      <w:r>
        <w:rPr>
          <w:rFonts w:hint="eastAsia" w:ascii="Calibri" w:hAnsi="Calibri" w:eastAsia="Calibri"/>
          <w:color w:val="000000"/>
          <w:sz w:val="25"/>
        </w:rPr>
        <w:t xml:space="preserve">of corporate governance.63 Christian Nowotny mentioned this in an earlier paper when he said.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25" w:after="0" w:line="336" w:lineRule="auto"/>
        <w:ind w:firstLine="16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Without doubt, taxation is one of the most powerful motivational</w:t>
      </w:r>
    </w:p>
    <w:p>
      <w:pPr>
        <w:spacing w:before="0" w:after="0" w:line="268" w:lineRule="auto"/>
        <w:ind w:left="1640" w:right="4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forces in corporate life. Tax consequences are important determinants of capital </w:t>
      </w:r>
      <w:r>
        <w:rPr>
          <w:rFonts w:hint="eastAsia" w:ascii="Calibri" w:hAnsi="Calibri" w:eastAsia="Calibri"/>
          <w:color w:val="000000"/>
          <w:sz w:val="25"/>
        </w:rPr>
        <w:t xml:space="preserve">structure,dividend payments and the arrangement of groups of companies, among </w:t>
      </w:r>
      <w:r>
        <w:rPr>
          <w:rFonts w:hint="eastAsia" w:ascii="Calibri" w:hAnsi="Calibri" w:eastAsia="Calibri"/>
          <w:color w:val="000000"/>
          <w:sz w:val="25"/>
        </w:rPr>
        <w:t xml:space="preserve">many other things. In view of this, it seems quite surpising that codes of “good”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78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</w:t>
      </w:r>
    </w:p>
    <w:p>
      <w:pPr>
        <w:spacing w:before="0" w:after="0" w:line="220" w:lineRule="auto"/>
        <w:ind w:left="120" w:right="20" w:hanging="1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61 Vegh Gyongyi and Hans Gribrau."Tax Administration and Good Governance" EC Tax Review Vol.27 ,January </w:t>
      </w:r>
      <w:r>
        <w:rPr>
          <w:rFonts w:hint="eastAsia" w:ascii="Calibri" w:hAnsi="Calibri" w:eastAsia="Calibri"/>
          <w:color w:val="000000"/>
          <w:sz w:val="25"/>
        </w:rPr>
        <w:t xml:space="preserve">2018 https://www.researchgate.net/publication/2623575</w:t>
      </w:r>
      <w:r>
        <w:rPr>
          <w:rFonts w:hint="eastAsia" w:ascii="Calibri" w:hAnsi="Calibri" w:eastAsia="Calibri"/>
          <w:u w:val="single"/>
          <w:color w:val="000000"/>
          <w:sz w:val="25"/>
        </w:rPr>
        <w:t xml:space="preserve">2Tax</w:t>
      </w:r>
      <w:r>
        <w:rPr>
          <w:rFonts w:hint="eastAsia" w:ascii="Calibri" w:hAnsi="Calibri" w:eastAsia="Calibri"/>
          <w:color w:val="000000"/>
          <w:sz w:val="25"/>
        </w:rPr>
        <w:t xml:space="preserve">Administration_Good_Governance accessed </w:t>
      </w:r>
      <w:r>
        <w:rPr>
          <w:rFonts w:hint="eastAsia" w:ascii="Calibri" w:hAnsi="Calibri" w:eastAsia="Calibri"/>
          <w:color w:val="000000"/>
          <w:sz w:val="22"/>
        </w:rPr>
        <w:t xml:space="preserve">January 7 2023.</w:t>
      </w:r>
    </w:p>
    <w:p>
      <w:pPr>
        <w:spacing w:before="0" w:after="0" w:line="201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62 Vegh Gyongyi and Hans Gribrau. Ibid accessed January 7,2023.</w:t>
      </w:r>
    </w:p>
    <w:p>
      <w:pPr>
        <w:spacing w:before="48" w:after="0" w:line="328" w:lineRule="auto"/>
        <w:ind w:firstLine="0"/>
        <w:jc w:val="both"/>
        <w:rPr>
          <w:sz w:val="20"/>
        </w:rPr>
        <w:sectPr>
          <w:headerReference w:type="default" r:id="R7f995a32371a42f4"/>
          <w:footerReference w:type="default" r:id="R89281398584744fa"/>
          <w:type w:val="continuous"/>
          <w:pgSz w:w="11900" w:h="1956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0"/>
        </w:rPr>
        <w:t xml:space="preserve">63 Christian Nowotny,"'The Low Profile of Tax in Corporate Governance or as a Corporate Governance Issue"'.2018</w:t>
      </w:r>
    </w:p>
    <w:p>
      <w:pPr>
        <w:spacing w:before="20" w:after="0" w:line="383" w:lineRule="auto"/>
        <w:ind w:left="1580" w:right="66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corporate governance promulgated in many European countries during the past </w:t>
      </w:r>
      <w:r>
        <w:rPr>
          <w:rFonts w:hint="eastAsia" w:ascii="Calibri" w:hAnsi="Calibri" w:eastAsia="Calibri"/>
          <w:color w:val="000000"/>
          <w:sz w:val="24"/>
        </w:rPr>
        <w:t xml:space="preserve">years typically do not mention taxation explicitly.64</w: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457200</wp:posOffset>
                </wp:positionH>
                <wp:positionV relativeFrom="page">
                  <wp:posOffset>1206500</wp:posOffset>
                </wp:positionV>
                <wp:extent cx="6489700" cy="3429000"/>
                <wp:effectExtent l="0" t="0" r="635" b="14605"/>
                <wp:wrapNone/>
                <wp:docPr id="16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360" w:lineRule="auto"/>
                              <w:ind w:firstLine="6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He further points out possible reasons for this relative low profile of tax as a corporate governance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issue; tax is considered as too technical to be discussed at the board of directors, as the minutes on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the discussion of tax issues at the board of directors may attract the attention of tax authorities, and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secondly, corporate governance codes are primarily designed for attracting investment,65 as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opposed to tax agencies that are expected to generate as much revenue as they could for the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government. Nevertheless,this traditional relationship between tax and corporate governance has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been changing, and tax is pushing forward its frontiers into what has traditionally been considered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corporate governance affairs. Many tax authorities, particularly in the advanced memnber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economies of the Organisation for Economic Co-operation and Development (OECD), are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adopting a new cooperative compliance approach, which aims to ensure tax compliance through 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the voluntary enhancement of internal control and corporate governance.66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7" style="position:absolute;left:0pt;margin-left:36.0pt;margin-top:95.0pt;height:270.0pt;width:511.0pt;z-index:638750246566967815;mso-width-relative:page;mso-height-relative:page;mso-position-vertical-relative:page;mso-position-horizontal-relative:page;" coordsize="21600,21600" o:spid="_x0000_s17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360" w:lineRule="auto"/>
                        <w:ind w:firstLine="6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He further points out possible reasons for this relative low profile of tax as a corporate governance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issue; tax is considered as too technical to be discussed at the board of directors, as the minutes on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the discussion of tax issues at the board of directors may attract the attention of tax authorities, and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secondly, corporate governance codes are primarily designed for attracting investment,65 as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opposed to tax agencies that are expected to generate as much revenue as they could for the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government. Nevertheless,this traditional relationship between tax and corporate governance has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been changing, and tax is pushing forward its frontiers into what has traditionally been considered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corporate governance affairs. Many tax authorities, particularly in the advanced memnber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economies of the Organisation for Economic Co-operation and Development (OECD), are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adopting a new cooperative compliance approach, which aims to ensure tax compliance through 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the voluntary enhancement of internal control and corporate governance.66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8661400</wp:posOffset>
                </wp:positionV>
                <wp:extent cx="6337300" cy="762000"/>
                <wp:effectExtent l="0" t="0" r="635" b="14605"/>
                <wp:wrapNone/>
                <wp:docPr id="18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311" w:lineRule="auto"/>
                              <w:ind w:firstLine="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64 Christian Nowotny,"Taxation, Accounting and Transparency: The Missing Trinity of Corporate Life" (2007)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&lt;https://www.semantic scholar.org/paper/taxation%2c-Accounting%2c-and-Transparency%3A DOI:10.1007/978-3-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540-77276-7_8&gt;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9" style="position:absolute;left:0pt;margin-left:59.0pt;margin-top:682.0pt;height:60.0pt;width:499.0pt;z-index:638750246566974649;mso-width-relative:page;mso-height-relative:page;mso-position-vertical-relative:page;mso-position-horizontal-relative:page;" coordsize="21600,21600" o:spid="_x0000_s19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311" w:lineRule="auto"/>
                        <w:ind w:firstLine="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64 Christian Nowotny,"Taxation, Accounting and Transparency: The Missing Trinity of Corporate Life" (2007)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&lt;https://www.semantic scholar.org/paper/taxation%2c-Accounting%2c-and-Transparency%3A DOI:10.1007/978-3-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540-77276-7_8&gt;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749300</wp:posOffset>
                </wp:positionH>
                <wp:positionV relativeFrom="page">
                  <wp:posOffset>9309100</wp:posOffset>
                </wp:positionV>
                <wp:extent cx="6350000" cy="774700"/>
                <wp:effectExtent l="0" t="0" r="635" b="14605"/>
                <wp:wrapNone/>
                <wp:docPr id="20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601470" y="2139315"/>
                          <a:ext cx="2132965" cy="33762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spacing w:before="0" w:after="0" w:line="316" w:lineRule="auto"/>
                              <w:ind w:left="20" w:hanging="20" w:firstLine="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66 Satori Araki, Tax and Corporate Governance;What Tax Authorities Expect of Companies March 18 2018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&lt;www.ciat.org/tax-and-corporate-</w:t>
                            </w:r>
                            <w:r>
                              <w:rPr>
                                <w:rFonts w:hint="eastAsia" w:ascii="Calibri" w:hAnsi="Calibri" w:eastAsia="Calibri"/>
                                <w:color w:val="000000"/>
                                <w:sz w:val="24"/>
                              </w:rPr>
                              <w:t xml:space="preserve">governance-what-tax-authorities-expect-of-companies&gt;</w:t>
                            </w:r>
                          </w:p>
                        </w:txbxContent>
                      </wps:txbx>
                      <wps:bodyPr wrap="none" lIns="25400" tIns="0" rIns="2540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21" style="position:absolute;left:0pt;margin-left:59.0pt;margin-top:733.0pt;height:61.0pt;width:500.0pt;z-index:638750246566976298;mso-width-relative:page;mso-height-relative:page;mso-position-vertical-relative:page;mso-position-horizontal-relative:page;" coordsize="21600,21600" o:spid="_x0000_s21" filled="true" fillcolor="#FFFFFF [3201]" stroked="false" o:spt="202" type="#_x0000_t202" o:gfxdata="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FgAAAGRycy9QSwECFAAUAAAACACHTuJAC7O6i9YAAAAL&#10;AQAADwAAAAAAAAABACAAAAA4AAAAZHJzL2Rvd25yZXYueG1sUEsBAhQAFAAAAAgAh07iQIf01n1B&#10;AgAATgQAAA4AAAAAAAAAAQAgAAAAOwEAAGRycy9lMm9Eb2MueG1sUEsFBgAAAAAGAAYAWQEAAO4F&#10;AAAAAA==&#10;">
                <v:textbox inset="2pt,0,2pt,0">
                  <w:txbxContent>
                    <w:p>
                      <w:pPr>
                        <w:spacing w:before="0" w:after="0" w:line="316" w:lineRule="auto"/>
                        <w:ind w:left="20" w:hanging="20" w:firstLine="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66 Satori Araki, Tax and Corporate Governance;What Tax Authorities Expect of Companies March 18 2018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&lt;www.ciat.org/tax-and-corporate-</w:t>
                      </w:r>
                      <w:r>
                        <w:rPr>
                          <w:rFonts w:hint="eastAsia" w:ascii="Calibri" w:hAnsi="Calibri" w:eastAsia="Calibri"/>
                          <w:color w:val="000000"/>
                          <w:sz w:val="24"/>
                        </w:rPr>
                        <w:t xml:space="preserve">governance-what-tax-authorities-expect-of-companies&gt;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69" w:after="0" w:line="383" w:lineRule="auto"/>
        <w:ind w:left="220" w:right="28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Whilst a cooperative compliance programme aims at the voluntary raise of compliance level on </w:t>
      </w:r>
      <w:r>
        <w:rPr>
          <w:rFonts w:hint="eastAsia" w:ascii="Calibri" w:hAnsi="Calibri" w:eastAsia="Calibri"/>
          <w:color w:val="000000"/>
          <w:sz w:val="24"/>
        </w:rPr>
        <w:t xml:space="preserve">the part of corporate taxpayers, high standards cannot be met without working on governance and </w:t>
      </w:r>
      <w:r>
        <w:rPr>
          <w:rFonts w:hint="eastAsia" w:ascii="Calibri" w:hAnsi="Calibri" w:eastAsia="Calibri"/>
          <w:color w:val="000000"/>
          <w:sz w:val="24"/>
        </w:rPr>
        <w:t xml:space="preserve">internal control.As Wolfgang Schön (2008) points out, companies are not a single individual,but </w:t>
      </w:r>
      <w:r>
        <w:rPr>
          <w:rFonts w:hint="eastAsia" w:ascii="Calibri" w:hAnsi="Calibri" w:eastAsia="Calibri"/>
          <w:color w:val="000000"/>
          <w:sz w:val="24"/>
        </w:rPr>
        <w:t xml:space="preserve">a nexus of contracts, and tax obligations are allocated within the organisation and legal framework </w:t>
      </w:r>
      <w:r>
        <w:rPr>
          <w:rFonts w:hint="eastAsia" w:ascii="Calibri" w:hAnsi="Calibri" w:eastAsia="Calibri"/>
          <w:color w:val="000000"/>
          <w:sz w:val="24"/>
        </w:rPr>
        <w:t xml:space="preserve">of company. Even though management has the willingness to comply with tax rules, non-</w:t>
      </w:r>
      <w:r>
        <w:rPr>
          <w:rFonts w:hint="eastAsia" w:ascii="Calibri" w:hAnsi="Calibri" w:eastAsia="Calibri"/>
          <w:color w:val="000000"/>
          <w:sz w:val="24"/>
        </w:rPr>
        <w:t xml:space="preserve">compliance could occur in business operations without the knowledge of the management and </w:t>
      </w:r>
      <w:r>
        <w:rPr>
          <w:rFonts w:hint="eastAsia" w:ascii="Calibri" w:hAnsi="Calibri" w:eastAsia="Calibri"/>
          <w:color w:val="000000"/>
          <w:sz w:val="24"/>
        </w:rPr>
        <w:t xml:space="preserve">accounting division.</w:t>
      </w:r>
    </w:p>
    <w:p>
      <w:pPr>
        <w:spacing w:before="24" w:after="0" w:line="340" w:lineRule="auto"/>
        <w:ind w:left="400" w:right="160" w:hanging="20" w:firstLine="0"/>
        <w:jc w:val="both"/>
        <w:rPr>
          <w:sz w:val="24"/>
        </w:rPr>
      </w:pPr>
      <w:r>
        <w:rPr>
          <w:rFonts w:hint="eastAsia" w:ascii="Calibri" w:hAnsi="Calibri" w:eastAsia="Calibri"/>
          <w:color w:val="000000"/>
          <w:sz w:val="24"/>
        </w:rPr>
        <w:t xml:space="preserve">Co-operative compliance programmes are intended to be beneficial both for taxpayers and tax </w:t>
      </w:r>
      <w:r>
        <w:rPr>
          <w:rFonts w:hint="eastAsia" w:ascii="Calibri" w:hAnsi="Calibri" w:eastAsia="Calibri"/>
          <w:color w:val="000000"/>
          <w:sz w:val="24"/>
        </w:rPr>
        <w:t xml:space="preserve">authorities. Dave Hartnett, former Permanent Secretary for Tax at Her Majesty Revenue and </w:t>
      </w:r>
      <w:r>
        <w:rPr>
          <w:rFonts w:hint="eastAsia" w:ascii="Calibri" w:hAnsi="Calibri" w:eastAsia="Calibri"/>
          <w:color w:val="000000"/>
          <w:sz w:val="24"/>
        </w:rPr>
        <w:t xml:space="preserve">Customs puts it thus "'for corporate </w:t>
      </w:r>
      <w:r>
        <w:rPr>
          <w:rFonts w:hint="eastAsia" w:ascii="Calibri" w:hAnsi="Calibri" w:eastAsia="Calibri"/>
          <w:i/>
          <w:color w:val="000000"/>
          <w:sz w:val="24"/>
        </w:rPr>
        <w:t xml:space="preserve">who embrace corporate responsibility, we see the business as</w:t>
      </w:r>
      <w:r>
        <w:rPr>
          <w:rFonts w:hint="eastAsia" w:ascii="Calibri" w:hAnsi="Calibri" w:eastAsia="Calibri"/>
          <w:color w:val="000000"/>
          <w:sz w:val="24"/>
        </w:rPr>
        <w:t xml:space="preserve"> </w:t>
      </w:r>
      <w:r>
        <w:rPr>
          <w:rFonts w:hint="eastAsia" w:ascii="Calibri" w:hAnsi="Calibri" w:eastAsia="Calibri"/>
          <w:i/>
          <w:color w:val="000000"/>
          <w:sz w:val="24"/>
        </w:rPr>
        <w:t xml:space="preserve">a lower risk and where the compliance track record is sound, we audit less often and then focus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23" w:after="0" w:line="355" w:lineRule="auto"/>
        <w:ind w:firstLine="520"/>
        <w:jc w:val="both"/>
        <w:rPr>
          <w:sz w:val="24"/>
        </w:rPr>
      </w:pP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            </w:t>
      </w:r>
      <w:r>
        <w:rPr>
          <w:rFonts w:hint="eastAsia" w:ascii="Calibri" w:hAnsi="Calibri" w:eastAsia="Calibri"/>
          <w:color w:val="000000"/>
          <w:sz w:val="24"/>
        </w:rPr>
        <w:t xml:space="preserve">      </w:t>
      </w:r>
      <w:r>
        <w:rPr>
          <w:rFonts w:hint="eastAsia" w:ascii="Calibri" w:hAnsi="Calibri" w:eastAsia="Calibri"/>
          <w:u w:val="single"/>
          <w:color w:val="000000"/>
          <w:sz w:val="24"/>
        </w:rPr>
        <w:t xml:space="preserve">    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191" w:lineRule="auto"/>
        <w:ind w:firstLine="500"/>
        <w:jc w:val="both"/>
        <w:rPr>
          <w:sz w:val="24"/>
        </w:rPr>
        <w:sectPr>
          <w:headerReference w:type="default" r:id="Rb45d7ee1656e4501"/>
          <w:footerReference w:type="default" r:id="R51e54a20e44b45b2"/>
          <w:type w:val="continuous"/>
          <w:pgSz w:w="11900" w:h="1938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4"/>
        </w:rPr>
        <w:t xml:space="preserve">65 Ibid</w:t>
      </w:r>
    </w:p>
    <w:p>
      <w:pPr>
        <w:spacing w:before="20" w:after="0" w:line="350" w:lineRule="auto"/>
        <w:ind w:left="160" w:right="100" w:firstLine="0"/>
        <w:jc w:val="both"/>
        <w:rPr>
          <w:sz w:val="25"/>
        </w:rPr>
      </w:pPr>
      <w:r>
        <w:rPr>
          <w:rFonts w:hint="eastAsia" w:ascii="Calibri" w:hAnsi="Calibri" w:eastAsia="Calibri"/>
          <w:i/>
          <w:color w:val="000000"/>
          <w:sz w:val="25"/>
        </w:rPr>
        <w:t xml:space="preserve">on</w:t>
      </w:r>
      <w:r>
        <w:rPr>
          <w:rFonts w:hint="eastAsia" w:ascii="Calibri" w:hAnsi="Calibri" w:eastAsia="Calibri"/>
          <w:color w:val="000000"/>
          <w:sz w:val="25"/>
        </w:rPr>
        <w:t xml:space="preserve"> </w:t>
      </w:r>
      <w:r>
        <w:rPr>
          <w:rFonts w:hint="eastAsia" w:ascii="Calibri" w:hAnsi="Calibri" w:eastAsia="Calibri"/>
          <w:i/>
          <w:color w:val="000000"/>
          <w:sz w:val="25"/>
        </w:rPr>
        <w:t xml:space="preserve">bigger</w:t>
      </w:r>
      <w:r>
        <w:rPr>
          <w:rFonts w:hint="eastAsia" w:ascii="Calibri" w:hAnsi="Calibri" w:eastAsia="Calibri"/>
          <w:color w:val="000000"/>
          <w:sz w:val="25"/>
        </w:rPr>
        <w:t xml:space="preserve"> risks'67. Thus, enhanced governance and internal control are a key to a stable </w:t>
      </w:r>
      <w:r>
        <w:rPr>
          <w:rFonts w:hint="eastAsia" w:ascii="Calibri" w:hAnsi="Calibri" w:eastAsia="Calibri"/>
          <w:color w:val="000000"/>
          <w:sz w:val="25"/>
        </w:rPr>
        <w:t xml:space="preserve">relationship with the tax authorities.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44" w:after="0" w:line="336" w:lineRule="auto"/>
        <w:ind w:firstLine="16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following are the suggested good corporate governance practices in revenue generation.</w:t>
      </w:r>
    </w:p>
    <w:p>
      <w:pPr>
        <w:spacing w:before="0" w:after="0" w:line="340" w:lineRule="auto"/>
        <w:ind w:left="940" w:right="1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(i) Introduction of Automated Tax Administraion System (ATAS): The norm is that </w:t>
      </w:r>
      <w:r>
        <w:rPr>
          <w:rFonts w:hint="eastAsia" w:ascii="Calibri" w:hAnsi="Calibri" w:eastAsia="Calibri"/>
          <w:color w:val="000000"/>
          <w:sz w:val="25"/>
        </w:rPr>
        <w:t xml:space="preserve">people detest tax collectors generally because of lack of trust, but digitisation of the tax </w:t>
      </w:r>
      <w:r>
        <w:rPr>
          <w:rFonts w:hint="eastAsia" w:ascii="Calibri" w:hAnsi="Calibri" w:eastAsia="Calibri"/>
          <w:color w:val="000000"/>
          <w:sz w:val="25"/>
        </w:rPr>
        <w:t xml:space="preserve">system will take people out of the picture, thus building taxpayers' trust and building trust </w:t>
      </w:r>
      <w:r>
        <w:rPr>
          <w:rFonts w:hint="eastAsia" w:ascii="Calibri" w:hAnsi="Calibri" w:eastAsia="Calibri"/>
          <w:color w:val="000000"/>
          <w:sz w:val="25"/>
        </w:rPr>
        <w:t xml:space="preserve">will inevitably shore up the revenue.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188" w:after="0" w:line="340" w:lineRule="auto"/>
        <w:ind w:left="920" w:right="12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(ii) Employing the services of external auditors to check tax authorities' accounts; This is </w:t>
      </w:r>
      <w:r>
        <w:rPr>
          <w:rFonts w:hint="eastAsia" w:ascii="Calibri" w:hAnsi="Calibri" w:eastAsia="Calibri"/>
          <w:color w:val="000000"/>
          <w:sz w:val="25"/>
        </w:rPr>
        <w:t xml:space="preserve">a good governance global best practice. It is against the rule of accountability and </w:t>
      </w:r>
      <w:r>
        <w:rPr>
          <w:rFonts w:hint="eastAsia" w:ascii="Calibri" w:hAnsi="Calibri" w:eastAsia="Calibri"/>
          <w:color w:val="000000"/>
          <w:sz w:val="25"/>
        </w:rPr>
        <w:t xml:space="preserve">transparency for the auditor to be a staff of the agency it is auditing, as there is the tendency </w:t>
      </w:r>
      <w:r>
        <w:rPr>
          <w:rFonts w:hint="eastAsia" w:ascii="Calibri" w:hAnsi="Calibri" w:eastAsia="Calibri"/>
          <w:color w:val="000000"/>
          <w:sz w:val="25"/>
        </w:rPr>
        <w:t xml:space="preserve">to dance to his master's tune. This is in line with the adage," He who pays the piper dictates </w:t>
      </w:r>
      <w:r>
        <w:rPr>
          <w:rFonts w:hint="eastAsia" w:ascii="Calibri" w:hAnsi="Calibri" w:eastAsia="Calibri"/>
          <w:color w:val="000000"/>
          <w:sz w:val="25"/>
        </w:rPr>
        <w:t xml:space="preserve">the tune".</w:t>
      </w:r>
    </w:p>
    <w:p>
      <w:pPr>
        <w:spacing w:before="45" w:after="0" w:line="340" w:lineRule="auto"/>
        <w:ind w:firstLine="9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(iii)Accountability, fairness, transparency,independence,and social responsibility</w:t>
      </w:r>
    </w:p>
    <w:p>
      <w:pPr>
        <w:spacing w:before="16" w:after="0" w:line="336" w:lineRule="auto"/>
        <w:ind w:firstLine="9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(iv) Safeguarding integrity in financial reporting</w:t>
      </w:r>
    </w:p>
    <w:p>
      <w:pPr>
        <w:spacing w:before="11" w:after="0" w:line="336" w:lineRule="auto"/>
        <w:ind w:firstLine="9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(v) Making timely and balanced disclosure</w:t>
      </w:r>
    </w:p>
    <w:p>
      <w:pPr>
        <w:spacing w:before="11" w:after="0" w:line="336" w:lineRule="auto"/>
        <w:ind w:firstLine="94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(vi) Respecting the rights of taxpayers</w:t>
      </w:r>
    </w:p>
    <w:p>
      <w:pPr>
        <w:spacing w:before="11" w:after="0" w:line="336" w:lineRule="auto"/>
        <w:ind w:firstLine="9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(vii) Recognising and managing risks</w:t>
      </w:r>
    </w:p>
    <w:p>
      <w:pPr>
        <w:spacing w:before="11" w:after="0" w:line="336" w:lineRule="auto"/>
        <w:ind w:firstLine="9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(viii) Laying a solid foundation for management and oversight</w:t>
      </w:r>
    </w:p>
    <w:p>
      <w:pPr>
        <w:spacing w:before="31" w:after="0" w:line="336" w:lineRule="auto"/>
        <w:ind w:firstLine="9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(ix) Structuring the Board to add value.</w:t>
      </w:r>
    </w:p>
    <w:p>
      <w:pPr>
        <w:spacing w:before="11" w:after="0" w:line="336" w:lineRule="auto"/>
        <w:ind w:firstLine="90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(x) Promoting ethical and responsible decision-making.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0" w:after="0" w:line="312" w:lineRule="auto"/>
        <w:ind w:firstLine="80"/>
        <w:jc w:val="both"/>
        <w:rPr>
          <w:sz w:val="25"/>
        </w:rPr>
      </w:pPr>
      <w:r>
        <w:rPr>
          <w:rFonts w:hint="eastAsia" w:ascii="Calibri" w:hAnsi="Calibri" w:eastAsia="Calibri"/>
          <w:b/>
          <w:color w:val="000000"/>
          <w:sz w:val="25"/>
        </w:rPr>
        <w:t xml:space="preserve">8.0 Conclusion and Recommendations</w:t>
      </w:r>
    </w:p>
    <w:p>
      <w:pPr>
        <w:spacing w:before="0" w:after="0" w:line="316" w:lineRule="auto"/>
        <w:ind w:left="20" w:right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The social distancing that the Covid-19 Pandemic introduced sniffled economic growth,which led </w:t>
      </w:r>
      <w:r>
        <w:rPr>
          <w:rFonts w:hint="eastAsia" w:ascii="Calibri" w:hAnsi="Calibri" w:eastAsia="Calibri"/>
          <w:color w:val="000000"/>
          <w:sz w:val="25"/>
        </w:rPr>
        <w:t xml:space="preserve">to the shutdown of financial markets, corporate offices, businesses, and events by the exponential </w:t>
      </w:r>
      <w:r>
        <w:rPr>
          <w:rFonts w:hint="eastAsia" w:ascii="Calibri" w:hAnsi="Calibri" w:eastAsia="Calibri"/>
          <w:color w:val="000000"/>
          <w:sz w:val="25"/>
        </w:rPr>
        <w:t xml:space="preserve">rate it spread and the fear and uncertainty about how badit could get.68 The rising number of </w:t>
      </w:r>
      <w:r>
        <w:rPr>
          <w:rFonts w:hint="eastAsia" w:ascii="Calibri" w:hAnsi="Calibri" w:eastAsia="Calibri"/>
          <w:color w:val="000000"/>
          <w:sz w:val="25"/>
        </w:rPr>
        <w:t xml:space="preserve">Covid-19 cases and rising number of death cases led to a significant increase in global inflation </w:t>
      </w:r>
      <w:r>
        <w:rPr>
          <w:rFonts w:hint="eastAsia" w:ascii="Calibri" w:hAnsi="Calibri" w:eastAsia="Calibri"/>
          <w:color w:val="000000"/>
          <w:sz w:val="25"/>
        </w:rPr>
        <w:t xml:space="preserve">rate,global unemployment rate and global energy commodity index. That the Covid-19 pandemic </w:t>
      </w:r>
      <w:r>
        <w:rPr>
          <w:rFonts w:hint="eastAsia" w:ascii="Calibri" w:hAnsi="Calibri" w:eastAsia="Calibri"/>
          <w:color w:val="000000"/>
          <w:sz w:val="25"/>
        </w:rPr>
        <w:t xml:space="preserve">has devastated the global economy, and that it has rendered many of the world's population </w:t>
      </w:r>
      <w:r>
        <w:rPr>
          <w:rFonts w:hint="eastAsia" w:ascii="Calibri" w:hAnsi="Calibri" w:eastAsia="Calibri"/>
          <w:color w:val="000000"/>
          <w:sz w:val="25"/>
        </w:rPr>
        <w:t xml:space="preserve">impoverished is an understatement. Moreover, the pandemic has generated some uncertainties</w:t>
      </w:r>
    </w:p>
    <w:p>
      <w:pPr>
        <w:spacing w:before="46" w:after="0" w:line="336" w:lineRule="auto"/>
        <w:ind w:firstLine="4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235" w:lineRule="auto"/>
        <w:ind w:left="60" w:right="40" w:firstLine="0"/>
        <w:jc w:val="both"/>
        <w:rPr>
          <w:sz w:val="25"/>
        </w:rPr>
        <w:sectPr>
          <w:headerReference w:type="default" r:id="R03875b95f63c44db"/>
          <w:footerReference w:type="default" r:id="R5c445fd32ad24af7"/>
          <w:type w:val="continuous"/>
          <w:pgSz w:w="11900" w:h="17600" w:orient="portrait"/>
          <w:pgMar w:top="720" w:right="720" w:bottom="1680" w:left="720" w:header="360" w:footer="84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67 &lt;https://www.ciat.org/tax=and-corporate-governance-what-tax-authorities-expect-of-companies/?lang-en&gt;</w:t>
      </w:r>
      <w:r>
        <w:rPr>
          <w:rFonts w:hint="eastAsia" w:ascii="Calibri" w:hAnsi="Calibri" w:eastAsia="Calibri"/>
          <w:color w:val="000000"/>
          <w:sz w:val="25"/>
        </w:rPr>
        <w:t xml:space="preserve">68 Ozili Arun," Spillover of covid-19; Impact on the Global Economy"' 2020 DOI:10.2139/ssm.3562570 2022</w:t>
      </w:r>
      <w:r>
        <w:rPr>
          <w:rFonts w:hint="eastAsia" w:ascii="Calibri" w:hAnsi="Calibri" w:eastAsia="Calibri"/>
          <w:color w:val="000000"/>
          <w:sz w:val="25"/>
        </w:rPr>
        <w:t xml:space="preserve">loads/oziliandaruncovidspilloverglobaleconomy&gt; accessed September 9, 2022</w:t>
      </w:r>
    </w:p>
    <w:p>
      <w:pPr>
        <w:spacing w:before="0" w:after="0" w:line="374" w:lineRule="auto"/>
        <w:ind w:left="20" w:right="260" w:hanging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regarding economic and social policies and this phenomenon is lately the brunt of every </w:t>
      </w:r>
      <w:r>
        <w:rPr>
          <w:rFonts w:hint="eastAsia" w:ascii="Calibri" w:hAnsi="Calibri" w:eastAsia="Calibri"/>
          <w:color w:val="000000"/>
          <w:sz w:val="25"/>
        </w:rPr>
        <w:t xml:space="preserve">government across the globe.69</w:t>
      </w:r>
    </w:p>
    <w:p>
      <w:pPr>
        <w:spacing w:before="0" w:after="0" w:line="340" w:lineRule="auto"/>
        <w:ind w:left="40" w:right="2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Almost all the sectors of the Nigerian economy, such as the manufacturing sector, entertainment </w:t>
      </w:r>
      <w:r>
        <w:rPr>
          <w:rFonts w:hint="eastAsia" w:ascii="Calibri" w:hAnsi="Calibri" w:eastAsia="Calibri"/>
          <w:color w:val="000000"/>
          <w:sz w:val="25"/>
        </w:rPr>
        <w:t xml:space="preserve">industry and other service sectors like education and distribution were economically affected </w:t>
      </w:r>
      <w:r>
        <w:rPr>
          <w:rFonts w:hint="eastAsia" w:ascii="Calibri" w:hAnsi="Calibri" w:eastAsia="Calibri"/>
          <w:color w:val="000000"/>
          <w:sz w:val="25"/>
        </w:rPr>
        <w:t xml:space="preserve">because monetary policy decisions and international travel restrictions seriously affected the level </w:t>
      </w:r>
      <w:r>
        <w:rPr>
          <w:rFonts w:hint="eastAsia" w:ascii="Calibri" w:hAnsi="Calibri" w:eastAsia="Calibri"/>
          <w:color w:val="000000"/>
          <w:sz w:val="25"/>
        </w:rPr>
        <w:t xml:space="preserve">of economic activities.</w:t>
      </w:r>
    </w:p>
    <w:p>
      <w:pPr>
        <w:spacing w:before="0" w:after="0" w:line="350" w:lineRule="auto"/>
        <w:ind w:left="60" w:right="24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However,the pandemic's negative impact on revenue is more pronounced in countries that are </w:t>
      </w:r>
      <w:r>
        <w:rPr>
          <w:rFonts w:hint="eastAsia" w:ascii="Calibri" w:hAnsi="Calibri" w:eastAsia="Calibri"/>
          <w:color w:val="000000"/>
          <w:sz w:val="25"/>
        </w:rPr>
        <w:t xml:space="preserve">most dependent on international trade, tourism and petroleum exports.70 The good news is that </w:t>
      </w:r>
      <w:r>
        <w:rPr>
          <w:rFonts w:hint="eastAsia" w:ascii="Calibri" w:hAnsi="Calibri" w:eastAsia="Calibri"/>
          <w:color w:val="000000"/>
          <w:sz w:val="25"/>
        </w:rPr>
        <w:t xml:space="preserve">sub-Saharan African tax collectors have performed almost the same way as their counterparts in </w:t>
      </w:r>
      <w:r>
        <w:rPr>
          <w:rFonts w:hint="eastAsia" w:ascii="Calibri" w:hAnsi="Calibri" w:eastAsia="Calibri"/>
          <w:color w:val="000000"/>
          <w:sz w:val="25"/>
        </w:rPr>
        <w:t xml:space="preserve">the much wealthier Latin America and substantially better than South Asian Countries.71 This is </w:t>
      </w:r>
      <w:r>
        <w:rPr>
          <w:rFonts w:hint="eastAsia" w:ascii="Calibri" w:hAnsi="Calibri" w:eastAsia="Calibri"/>
          <w:color w:val="000000"/>
          <w:sz w:val="25"/>
        </w:rPr>
        <w:t xml:space="preserve">because despite the total lockdown, Nigeria still recorded substantial revenue from tax sources in </w:t>
      </w:r>
      <w:r>
        <w:rPr>
          <w:rFonts w:hint="eastAsia" w:ascii="Calibri" w:hAnsi="Calibri" w:eastAsia="Calibri"/>
          <w:color w:val="000000"/>
          <w:sz w:val="25"/>
        </w:rPr>
        <w:t xml:space="preserve">the second quarters of 2020. This is contrary to IMF Projection72which predicts slower growth for </w:t>
      </w:r>
      <w:r>
        <w:rPr>
          <w:rFonts w:hint="eastAsia" w:ascii="Calibri" w:hAnsi="Calibri" w:eastAsia="Calibri"/>
          <w:color w:val="000000"/>
          <w:sz w:val="25"/>
        </w:rPr>
        <w:t xml:space="preserve">the Nigerian Economy.73</w:t>
      </w:r>
    </w:p>
    <w:p>
      <w:pPr>
        <w:spacing w:before="90" w:after="0" w:line="340" w:lineRule="auto"/>
        <w:ind w:left="60" w:right="200"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In conclusion, this paper has attempted to expose the impact Covid-19 Pandemic had on revenue </w:t>
      </w:r>
      <w:r>
        <w:rPr>
          <w:rFonts w:hint="eastAsia" w:ascii="Calibri" w:hAnsi="Calibri" w:eastAsia="Calibri"/>
          <w:color w:val="000000"/>
          <w:sz w:val="25"/>
        </w:rPr>
        <w:t xml:space="preserve">agencies at both the Federal and State levels in Nigeria. This work is therefore a contribution to </w:t>
      </w:r>
      <w:r>
        <w:rPr>
          <w:rFonts w:hint="eastAsia" w:ascii="Calibri" w:hAnsi="Calibri" w:eastAsia="Calibri"/>
          <w:color w:val="000000"/>
          <w:sz w:val="25"/>
        </w:rPr>
        <w:t xml:space="preserve">this line of knowledge as not much has been done on the impact of Covid-19 on revenue </w:t>
      </w:r>
      <w:r>
        <w:rPr>
          <w:rFonts w:hint="eastAsia" w:ascii="Calibri" w:hAnsi="Calibri" w:eastAsia="Calibri"/>
          <w:color w:val="000000"/>
          <w:sz w:val="25"/>
        </w:rPr>
        <w:t xml:space="preserve">authorities. Other literary works on the impact of Covid-19 have concentrated on its impact on </w:t>
      </w:r>
      <w:r>
        <w:rPr>
          <w:rFonts w:hint="eastAsia" w:ascii="Calibri" w:hAnsi="Calibri" w:eastAsia="Calibri"/>
          <w:color w:val="000000"/>
          <w:sz w:val="25"/>
        </w:rPr>
        <w:t xml:space="preserve">tourism, insurance implications, travel restrictions, and the general economy, among others.</w:t>
      </w:r>
      <w:r>
        <w:rPr>
          <w:rFonts w:hint="eastAsia" w:ascii="Calibri" w:hAnsi="Calibri" w:eastAsia="Calibri"/>
          <w:color w:val="000000"/>
          <w:sz w:val="25"/>
        </w:rPr>
        <w:t xml:space="preserve">The paper therefore puts forward the following recommendations.</w:t>
      </w:r>
    </w:p>
    <w:p>
      <w:pPr>
        <w:spacing w:before="0" w:after="0" w:line="240" w:lineRule="auto"/>
        <w:ind w:firstLine="0"/>
        <w:jc w:val="both"/>
        <w:rPr>
          <w:sz w:val="21"/>
        </w:rPr>
        <w:rPr>
          <w:rFonts w:hint="eastAsia" w:ascii="SimSun" w:hAnsi="SimSun" w:eastAsia="SimSun"/>
          <w:color w:val="000000"/>
          <w:sz w:val="21"/>
        </w:rPr>
      </w:pPr>
    </w:p>
    <w:p>
      <w:pPr>
        <w:spacing w:before="258" w:after="0" w:line="336" w:lineRule="auto"/>
        <w:ind w:left="1600" w:right="140" w:hanging="36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1. That all the other states of the federation should borrow a leaf from Lagos State to </w:t>
      </w:r>
      <w:r>
        <w:rPr>
          <w:rFonts w:hint="eastAsia" w:ascii="Calibri" w:hAnsi="Calibri" w:eastAsia="Calibri"/>
          <w:color w:val="000000"/>
          <w:sz w:val="25"/>
        </w:rPr>
        <w:t xml:space="preserve">replicate their success story in revenue generation.</w:t>
      </w:r>
    </w:p>
    <w:p>
      <w:pPr>
        <w:spacing w:before="42" w:after="0" w:line="340" w:lineRule="auto"/>
        <w:ind w:left="1640" w:right="100" w:hanging="4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2. That our revenue agencies should borrow a leaf from other advanced countries by </w:t>
      </w:r>
      <w:r>
        <w:rPr>
          <w:rFonts w:hint="eastAsia" w:ascii="Calibri" w:hAnsi="Calibri" w:eastAsia="Calibri"/>
          <w:color w:val="000000"/>
          <w:sz w:val="25"/>
        </w:rPr>
        <w:t xml:space="preserve">giving their staff the option to continue to work from home,post Covid.</w:t>
      </w:r>
    </w:p>
    <w:p>
      <w:pPr>
        <w:spacing w:before="50" w:after="0" w:line="345" w:lineRule="auto"/>
        <w:ind w:left="1640" w:right="60" w:hanging="40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3. Digitisation of the tax system will minimise one-on-one interaction between tax </w:t>
      </w:r>
      <w:r>
        <w:rPr>
          <w:rFonts w:hint="eastAsia" w:ascii="Calibri" w:hAnsi="Calibri" w:eastAsia="Calibri"/>
          <w:color w:val="000000"/>
          <w:sz w:val="25"/>
        </w:rPr>
        <w:t xml:space="preserve">officials and taxpayers thus building taxpayers' trust and building trust will </w:t>
      </w:r>
      <w:r>
        <w:rPr>
          <w:rFonts w:hint="eastAsia" w:ascii="Calibri" w:hAnsi="Calibri" w:eastAsia="Calibri"/>
          <w:color w:val="000000"/>
          <w:sz w:val="25"/>
        </w:rPr>
        <w:t xml:space="preserve">inevitably shore up the revenue.</w:t>
      </w:r>
    </w:p>
    <w:p>
      <w:pPr>
        <w:spacing w:before="168" w:after="0" w:line="336" w:lineRule="auto"/>
        <w:ind w:firstLine="0"/>
        <w:jc w:val="both"/>
        <w:rPr>
          <w:sz w:val="25"/>
        </w:rPr>
      </w:pPr>
      <w:r>
        <w:rPr>
          <w:rFonts w:hint="eastAsia" w:ascii="Calibri" w:hAnsi="Calibri" w:eastAsia="Calibri"/>
          <w:u w:val="single"/>
          <w:color w:val="000000"/>
          <w:sz w:val="25"/>
        </w:rPr>
        <w:t xml:space="preserve">                             </w:t>
      </w:r>
    </w:p>
    <w:p>
      <w:pPr>
        <w:spacing w:before="0" w:after="0" w:line="336" w:lineRule="auto"/>
        <w:ind w:left="160" w:right="40" w:hanging="1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69 Prince Asare,Vitenu Sackey and Richard Barfin,"The impact of Covid-19 on Global Economy" The Economic </w:t>
      </w:r>
      <w:r>
        <w:rPr>
          <w:rFonts w:hint="eastAsia" w:ascii="Calibri" w:hAnsi="Calibri" w:eastAsia="Calibri"/>
          <w:color w:val="000000"/>
          <w:sz w:val="25"/>
        </w:rPr>
        <w:t xml:space="preserve">10 2022</w:t>
      </w:r>
    </w:p>
    <w:p>
      <w:pPr>
        <w:spacing w:before="0" w:after="0" w:line="225" w:lineRule="auto"/>
        <w:ind w:left="20" w:right="2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70 Feldstad and Therkilsen,"Implication of the covid-19 Pandemic for revenue generation in poor countries"2020</w:t>
      </w:r>
      <w:r>
        <w:rPr>
          <w:rFonts w:hint="eastAsia" w:ascii="Calibri" w:hAnsi="Calibri" w:eastAsia="Calibri"/>
          <w:color w:val="000000"/>
          <w:sz w:val="25"/>
        </w:rPr>
        <w:t xml:space="preserve">DIIS working Paper No 13,p61.</w:t>
      </w:r>
    </w:p>
    <w:p>
      <w:pPr>
        <w:spacing w:before="0" w:after="0" w:line="191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71 Ibid</w:t>
      </w:r>
    </w:p>
    <w:p>
      <w:pPr>
        <w:spacing w:before="0" w:after="0" w:line="215" w:lineRule="auto"/>
        <w:ind w:firstLine="2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72 IMF Fiscal Affairs Projection 2020</w:t>
      </w:r>
    </w:p>
    <w:p>
      <w:pPr>
        <w:spacing w:before="0" w:after="0" w:line="235" w:lineRule="auto"/>
        <w:ind w:left="100" w:right="40" w:hanging="80" w:firstLine="0"/>
        <w:jc w:val="both"/>
        <w:rPr>
          <w:sz w:val="25"/>
        </w:rPr>
        <w:sectPr>
          <w:headerReference w:type="default" r:id="Rb32c2c9279ba490f"/>
          <w:footerReference w:type="default" r:id="R5980bbccabc14fd9"/>
          <w:type w:val="continuous"/>
          <w:pgSz w:w="11900" w:h="18600" w:orient="portrait"/>
          <w:pgMar w:top="720" w:right="720" w:bottom="1920" w:left="720" w:header="360" w:footer="960"/>
          <w:cols w:equalWidth="true" w:num="1"/>
        </w:sectPr>
      </w:pPr>
      <w:r>
        <w:rPr>
          <w:rFonts w:hint="eastAsia" w:ascii="Calibri" w:hAnsi="Calibri" w:eastAsia="Calibri"/>
          <w:color w:val="000000"/>
          <w:sz w:val="25"/>
        </w:rPr>
        <w:t xml:space="preserve">73 Ayodele Adegboyega, "IMF Predicts slower growth for Nigeria Economy, Nigeria Economy, October 11 2022</w:t>
      </w:r>
      <w:r>
        <w:rPr>
          <w:rFonts w:hint="eastAsia" w:ascii="Calibri" w:hAnsi="Calibri" w:eastAsia="Calibri"/>
          <w:color w:val="000000"/>
          <w:sz w:val="25"/>
        </w:rPr>
        <w:t xml:space="preserve">&lt;https://punching.com&gt;nigeria-economic-growth&gt;</w:t>
      </w:r>
    </w:p>
    <w:p>
      <w:pPr>
        <w:spacing w:before="0" w:after="0" w:line="336" w:lineRule="auto"/>
        <w:ind w:left="500" w:right="20" w:hanging="4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4. That tax disputes resolution</w:t>
      </w:r>
      <w:r>
        <w:rPr>
          <w:rFonts w:hint="eastAsia" w:ascii="Calibri" w:hAnsi="Calibri" w:eastAsia="Calibri"/>
          <w:b/>
          <w:color w:val="000000"/>
          <w:sz w:val="25"/>
        </w:rPr>
        <w:t xml:space="preserve"> proceedings </w:t>
      </w:r>
      <w:r>
        <w:rPr>
          <w:rFonts w:hint="eastAsia" w:ascii="Calibri" w:hAnsi="Calibri" w:eastAsia="Calibri"/>
          <w:color w:val="000000"/>
          <w:sz w:val="25"/>
        </w:rPr>
        <w:t xml:space="preserve">should</w:t>
      </w:r>
      <w:r>
        <w:rPr>
          <w:rFonts w:hint="eastAsia" w:ascii="Calibri" w:hAnsi="Calibri" w:eastAsia="Calibri"/>
          <w:b/>
          <w:color w:val="000000"/>
          <w:sz w:val="25"/>
        </w:rPr>
        <w:t xml:space="preserve"> </w:t>
      </w:r>
      <w:r>
        <w:rPr>
          <w:rFonts w:hint="eastAsia" w:ascii="Calibri" w:hAnsi="Calibri" w:eastAsia="Calibri"/>
          <w:color w:val="000000"/>
          <w:sz w:val="25"/>
        </w:rPr>
        <w:t xml:space="preserve">be</w:t>
      </w:r>
      <w:r>
        <w:rPr>
          <w:rFonts w:hint="eastAsia" w:ascii="Calibri" w:hAnsi="Calibri" w:eastAsia="Calibri"/>
          <w:b/>
          <w:color w:val="000000"/>
          <w:sz w:val="25"/>
        </w:rPr>
        <w:t xml:space="preserve"> conducted</w:t>
      </w:r>
      <w:r>
        <w:rPr>
          <w:rFonts w:hint="eastAsia" w:ascii="Calibri" w:hAnsi="Calibri" w:eastAsia="Calibri"/>
          <w:color w:val="000000"/>
          <w:sz w:val="25"/>
        </w:rPr>
        <w:t xml:space="preserve"> virtually as this will </w:t>
      </w:r>
      <w:r>
        <w:rPr>
          <w:rFonts w:hint="eastAsia" w:ascii="Calibri" w:hAnsi="Calibri" w:eastAsia="Calibri"/>
          <w:color w:val="000000"/>
          <w:sz w:val="25"/>
        </w:rPr>
        <w:t xml:space="preserve">save both human and </w:t>
      </w:r>
      <w:r>
        <w:rPr>
          <w:rFonts w:hint="eastAsia" w:ascii="Calibri" w:hAnsi="Calibri" w:eastAsia="Calibri"/>
          <w:b/>
          <w:color w:val="000000"/>
          <w:sz w:val="25"/>
        </w:rPr>
        <w:t xml:space="preserve">material</w:t>
      </w:r>
      <w:r>
        <w:rPr>
          <w:rFonts w:hint="eastAsia" w:ascii="Calibri" w:hAnsi="Calibri" w:eastAsia="Calibri"/>
          <w:color w:val="000000"/>
          <w:sz w:val="25"/>
        </w:rPr>
        <w:t xml:space="preserve"> resources.</w:t>
      </w:r>
    </w:p>
    <w:p>
      <w:pPr>
        <w:spacing w:before="42" w:after="0" w:line="350" w:lineRule="auto"/>
        <w:ind w:left="400" w:right="20" w:hanging="380" w:firstLine="0"/>
        <w:jc w:val="both"/>
        <w:rPr>
          <w:sz w:val="25"/>
        </w:rPr>
      </w:pPr>
      <w:r>
        <w:rPr>
          <w:rFonts w:hint="eastAsia" w:ascii="Calibri" w:hAnsi="Calibri" w:eastAsia="Calibri"/>
          <w:color w:val="000000"/>
          <w:sz w:val="25"/>
        </w:rPr>
        <w:t xml:space="preserve">5. Finally, that in a bid to generate more revenue, nothing should be done to </w:t>
      </w:r>
      <w:r>
        <w:rPr>
          <w:rFonts w:hint="eastAsia" w:ascii="Calibri" w:hAnsi="Calibri" w:eastAsia="Calibri"/>
          <w:color w:val="000000"/>
          <w:sz w:val="25"/>
        </w:rPr>
        <w:t xml:space="preserve">compromise good corporate governance practices.</w:t>
      </w:r>
    </w:p>
    <w:sectPr>
      <w:headerReference w:type="default" r:id="R9d01f3b795d24399"/>
      <w:footerReference w:type="default" r:id="R68e436fcbfae42db"/>
      <w:type w:val="continuous"/>
      <w:pgSz w:w="11900" w:h="17260" w:orient="portrait"/>
      <w:pgMar w:top="720" w:right="1440" w:bottom="2880" w:left="1440" w:header="360" w:footer="1440"/>
      <w:cols w:equalWidth="true" w:num="1"/>
    </w:sectPr>
  </w:body>
</w:document>
</file>

<file path=word/footer1.xml><?xml version="1.0" encoding="utf-8"?>
<w:ftr xmlns:w="http://schemas.openxmlformats.org/wordprocessingml/2006/main">
  <w:p>
    <w:pPr>
      <w:spacing w:line="240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iii</w:t>
    </w:r>
  </w:p>
</w:ftr>
</file>

<file path=word/footer10.xml><?xml version="1.0" encoding="utf-8"?>
<w:ftr xmlns:w="http://schemas.openxmlformats.org/wordprocessingml/2006/main">
  <w:p>
    <w:pPr>
      <w:spacing w:line="215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145</w:t>
    </w:r>
  </w:p>
</w:ftr>
</file>

<file path=word/footer11.xml><?xml version="1.0" encoding="utf-8"?>
<w:ftr xmlns:w="http://schemas.openxmlformats.org/wordprocessingml/2006/main">
  <w:p>
    <w:pPr>
      <w:spacing w:line="360" w:lineRule="auto"/>
      <w:ind/>
      <w:jc w:val="center"/>
    </w:pPr>
    <w:r>
      <w:rPr>
        <w:sz w:val="24"/>
        <w:color w:val="000000"/>
        <w:rFonts w:hint="eastAsia" w:ascii="Calibri" w:hAnsi="Calibri" w:eastAsia="Calibri"/>
      </w:rPr>
      <w:t xml:space="preserve">146</w:t>
    </w:r>
  </w:p>
</w:ftr>
</file>

<file path=word/footer12.xml><?xml version="1.0" encoding="utf-8"?>
<w:ftr xmlns:w="http://schemas.openxmlformats.org/wordprocessingml/2006/main">
  <w:p>
    <w:pPr>
      <w:spacing w:line="360" w:lineRule="auto"/>
      <w:ind/>
      <w:jc w:val="center"/>
    </w:pPr>
    <w:r>
      <w:rPr>
        <w:sz w:val="24"/>
        <w:color w:val="000000"/>
        <w:rFonts w:hint="eastAsia" w:ascii="Calibri" w:hAnsi="Calibri" w:eastAsia="Calibri"/>
      </w:rPr>
      <w:t xml:space="preserve">147</w:t>
    </w:r>
  </w:p>
</w:ftr>
</file>

<file path=word/footer13.xml><?xml version="1.0" encoding="utf-8"?>
<w:ftr xmlns:w="http://schemas.openxmlformats.org/wordprocessingml/2006/main">
  <w:p>
    <w:pPr>
      <w:spacing w:line="215" w:lineRule="auto"/>
      <w:ind/>
      <w:jc w:val="center"/>
    </w:pPr>
    <w:r>
      <w:rPr>
        <w:sz w:val="23"/>
        <w:color w:val="000000"/>
        <w:rFonts w:hint="eastAsia" w:ascii="Calibri" w:hAnsi="Calibri" w:eastAsia="Calibri"/>
      </w:rPr>
      <w:t xml:space="preserve">148</w:t>
    </w:r>
  </w:p>
</w:ftr>
</file>

<file path=word/footer14.xml><?xml version="1.0" encoding="utf-8"?>
<w:ftr xmlns:w="http://schemas.openxmlformats.org/wordprocessingml/2006/main">
  <w:p>
    <w:pPr>
      <w:spacing w:line="240" w:lineRule="auto"/>
      <w:ind/>
      <w:jc w:val="center"/>
    </w:pPr>
    <w:r>
      <w:rPr>
        <w:sz w:val="21"/>
        <w:color w:val="000000"/>
        <w:rFonts w:hint="eastAsia" w:ascii="Calibri" w:hAnsi="Calibri" w:eastAsia="Calibri"/>
      </w:rPr>
      <w:t xml:space="preserve">149</w:t>
    </w:r>
  </w:p>
</w:ftr>
</file>

<file path=word/footer15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3"/>
        <w:color w:val="000000"/>
        <w:rFonts w:hint="eastAsia" w:ascii="Calibri" w:hAnsi="Calibri" w:eastAsia="Calibri"/>
      </w:rPr>
      <w:t xml:space="preserve">150</w:t>
    </w:r>
  </w:p>
</w:ftr>
</file>

<file path=word/footer16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4"/>
        <w:color w:val="000000"/>
        <w:rFonts w:hint="eastAsia" w:ascii="Calibri" w:hAnsi="Calibri" w:eastAsia="Calibri"/>
      </w:rPr>
      <w:t xml:space="preserve">151</w:t>
    </w:r>
  </w:p>
</w:ftr>
</file>

<file path=word/footer17.xml><?xml version="1.0" encoding="utf-8"?>
<w:ftr xmlns:w="http://schemas.openxmlformats.org/wordprocessingml/2006/main">
  <w:p>
    <w:pPr>
      <w:spacing w:line="336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152</w:t>
    </w:r>
  </w:p>
</w:ftr>
</file>

<file path=word/footer18.xml><?xml version="1.0" encoding="utf-8"?>
<w:ftr xmlns:w="http://schemas.openxmlformats.org/wordprocessingml/2006/main">
  <w:p>
    <w:pPr>
      <w:spacing w:line="336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153</w:t>
    </w:r>
  </w:p>
</w:ftr>
</file>

<file path=word/footer19.xml><?xml version="1.0" encoding="utf-8"?>
<w:ftr xmlns:w="http://schemas.openxmlformats.org/wordprocessingml/2006/main">
  <w:p>
    <w:pPr>
      <w:spacing w:line="336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154</w:t>
    </w:r>
  </w:p>
</w:ftr>
</file>

<file path=word/footer2.xml><?xml version="1.0" encoding="utf-8"?>
<w:ftr xmlns:w="http://schemas.openxmlformats.org/wordprocessingml/2006/main">
  <w:p/>
</w:ftr>
</file>

<file path=word/footer20.xml><?xml version="1.0" encoding="utf-8"?>
<w:ftr xmlns:w="http://schemas.openxmlformats.org/wordprocessingml/2006/main">
  <w:p>
    <w:pPr>
      <w:spacing w:line="240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155</w:t>
    </w:r>
  </w:p>
</w:ftr>
</file>

<file path=word/footer21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3"/>
        <w:color w:val="000000"/>
        <w:rFonts w:hint="eastAsia" w:ascii="Calibri" w:hAnsi="Calibri" w:eastAsia="Calibri"/>
      </w:rPr>
      <w:t xml:space="preserve">156</w:t>
    </w:r>
  </w:p>
</w:ftr>
</file>

<file path=word/footer22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4"/>
        <w:color w:val="000000"/>
        <w:rFonts w:hint="eastAsia" w:ascii="Calibri" w:hAnsi="Calibri" w:eastAsia="Calibri"/>
      </w:rPr>
      <w:t xml:space="preserve">157</w:t>
    </w:r>
  </w:p>
</w:ftr>
</file>

<file path=word/footer23.xml><?xml version="1.0" encoding="utf-8"?>
<w:ftr xmlns:w="http://schemas.openxmlformats.org/wordprocessingml/2006/main">
  <w:p>
    <w:pPr>
      <w:spacing w:line="215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158</w:t>
    </w:r>
  </w:p>
</w:ftr>
</file>

<file path=word/footer24.xml><?xml version="1.0" encoding="utf-8"?>
<w:ftr xmlns:w="http://schemas.openxmlformats.org/wordprocessingml/2006/main">
  <w:p>
    <w:pPr>
      <w:spacing w:line="312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159</w:t>
    </w:r>
  </w:p>
</w:ftr>
</file>

<file path=word/footer25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3"/>
        <w:color w:val="000000"/>
        <w:rFonts w:hint="eastAsia" w:ascii="Calibri" w:hAnsi="Calibri" w:eastAsia="Calibri"/>
      </w:rPr>
      <w:t xml:space="preserve">160</w:t>
    </w:r>
  </w:p>
</w:ftr>
</file>

<file path=word/footer26.xml><?xml version="1.0" encoding="utf-8"?>
<w:ftr xmlns:w="http://schemas.openxmlformats.org/wordprocessingml/2006/main">
  <w:p>
    <w:pPr>
      <w:spacing w:line="336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161</w:t>
    </w:r>
  </w:p>
</w:ftr>
</file>

<file path=word/footer27.xml><?xml version="1.0" encoding="utf-8"?>
<w:ftr xmlns:w="http://schemas.openxmlformats.org/wordprocessingml/2006/main">
  <w:p>
    <w:pPr>
      <w:spacing w:line="312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162</w:t>
    </w:r>
  </w:p>
</w:ftr>
</file>

<file path=word/footer3.xml><?xml version="1.0" encoding="utf-8"?>
<w:ftr xmlns:w="http://schemas.openxmlformats.org/wordprocessingml/2006/main">
  <w:p/>
</w:ftr>
</file>

<file path=word/footer4.xml><?xml version="1.0" encoding="utf-8"?>
<w:ftr xmlns:w="http://schemas.openxmlformats.org/wordprocessingml/2006/main">
  <w:p>
    <w:pPr>
      <w:spacing w:line="335" w:lineRule="auto"/>
      <w:ind/>
      <w:jc w:val="center"/>
    </w:pPr>
    <w:r>
      <w:rPr>
        <w:sz w:val="31"/>
        <w:color w:val="000000"/>
        <w:rFonts w:hint="eastAsia" w:ascii="Calibri" w:hAnsi="Calibri" w:eastAsia="Calibri"/>
      </w:rPr>
      <w:t xml:space="preserve">vi</w:t>
    </w:r>
  </w:p>
</w:ftr>
</file>

<file path=word/footer5.xml><?xml version="1.0" encoding="utf-8"?>
<w:ftr xmlns:w="http://schemas.openxmlformats.org/wordprocessingml/2006/main">
  <w:p>
    <w:pPr>
      <w:spacing w:line="360" w:lineRule="auto"/>
      <w:ind/>
      <w:jc w:val="center"/>
    </w:pPr>
    <w:r>
      <w:rPr>
        <w:sz w:val="47"/>
        <w:color w:val="000000"/>
        <w:rFonts w:hint="eastAsia" w:ascii="Calibri" w:hAnsi="Calibri" w:eastAsia="Calibri"/>
      </w:rPr>
      <w:t xml:space="preserve">vil</w:t>
    </w:r>
  </w:p>
</w:ftr>
</file>

<file path=word/footer6.xml><?xml version="1.0" encoding="utf-8"?>
<w:ftr xmlns:w="http://schemas.openxmlformats.org/wordprocessingml/2006/main">
  <w:p>
    <w:pPr>
      <w:spacing w:line="263" w:lineRule="auto"/>
      <w:ind/>
      <w:jc w:val="center"/>
    </w:pPr>
    <w:r>
      <w:rPr>
        <w:sz w:val="22"/>
        <w:color w:val="000000"/>
        <w:rFonts w:hint="eastAsia" w:ascii="Calibri" w:hAnsi="Calibri" w:eastAsia="Calibri"/>
      </w:rPr>
      <w:t xml:space="preserve">viii</w:t>
    </w:r>
  </w:p>
</w:ftr>
</file>

<file path=word/footer7.xml><?xml version="1.0" encoding="utf-8"?>
<w:ftr xmlns:w="http://schemas.openxmlformats.org/wordprocessingml/2006/main">
  <w:p>
    <w:pPr>
      <w:spacing w:line="215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ix</w:t>
    </w:r>
  </w:p>
</w:ftr>
</file>

<file path=word/footer8.xml><?xml version="1.0" encoding="utf-8"?>
<w:ftr xmlns:w="http://schemas.openxmlformats.org/wordprocessingml/2006/main">
  <w:p>
    <w:pPr>
      <w:spacing w:line="336" w:lineRule="auto"/>
      <w:ind/>
      <w:jc w:val="center"/>
    </w:pPr>
    <w:r>
      <w:rPr>
        <w:sz w:val="25"/>
        <w:color w:val="000000"/>
        <w:rFonts w:hint="eastAsia" w:ascii="Calibri" w:hAnsi="Calibri" w:eastAsia="Calibri"/>
      </w:rPr>
      <w:t xml:space="preserve">143</w:t>
    </w:r>
  </w:p>
</w:ftr>
</file>

<file path=word/footer9.xml><?xml version="1.0" encoding="utf-8"?>
<w:ftr xmlns:w="http://schemas.openxmlformats.org/wordprocessingml/2006/main">
  <w:p>
    <w:pPr>
      <w:spacing w:line="311" w:lineRule="auto"/>
      <w:ind/>
      <w:jc w:val="center"/>
    </w:pPr>
    <w:r>
      <w:rPr>
        <w:sz w:val="20"/>
        <w:color w:val="000000"/>
        <w:rFonts w:hint="eastAsia" w:ascii="Calibri" w:hAnsi="Calibri" w:eastAsia="Calibri"/>
      </w:rPr>
      <w:t xml:space="preserve">1</w:t>
    </w:r>
    <w:r>
      <w:rPr>
        <w:sz w:val="20"/>
        <w:color w:val="00FF00"/>
        <w:rFonts w:hint="eastAsia" w:ascii="Calibri" w:hAnsi="Calibri" w:eastAsia="Calibri"/>
      </w:rPr>
      <w:t xml:space="preserve">44</w:t>
    </w:r>
  </w:p>
</w:ftr>
</file>

<file path=word/header1.xml><?xml version="1.0" encoding="utf-8"?>
<w:hdr xmlns:w="http://schemas.openxmlformats.org/wordprocessingml/2006/main">
  <w:p/>
</w:hdr>
</file>

<file path=word/header10.xml><?xml version="1.0" encoding="utf-8"?>
<w:hdr xmlns:w="http://schemas.openxmlformats.org/wordprocessingml/2006/main">
  <w:p/>
</w:hdr>
</file>

<file path=word/header11.xml><?xml version="1.0" encoding="utf-8"?>
<w:hdr xmlns:w="http://schemas.openxmlformats.org/wordprocessingml/2006/main">
  <w:p/>
</w:hdr>
</file>

<file path=word/header12.xml><?xml version="1.0" encoding="utf-8"?>
<w:hdr xmlns:w="http://schemas.openxmlformats.org/wordprocessingml/2006/main">
  <w:p/>
</w:hdr>
</file>

<file path=word/header13.xml><?xml version="1.0" encoding="utf-8"?>
<w:hdr xmlns:w="http://schemas.openxmlformats.org/wordprocessingml/2006/main">
  <w:p/>
</w:hdr>
</file>

<file path=word/header14.xml><?xml version="1.0" encoding="utf-8"?>
<w:hdr xmlns:w="http://schemas.openxmlformats.org/wordprocessingml/2006/main">
  <w:p/>
</w:hdr>
</file>

<file path=word/header15.xml><?xml version="1.0" encoding="utf-8"?>
<w:hdr xmlns:w="http://schemas.openxmlformats.org/wordprocessingml/2006/main">
  <w:p/>
</w:hdr>
</file>

<file path=word/header16.xml><?xml version="1.0" encoding="utf-8"?>
<w:hdr xmlns:w="http://schemas.openxmlformats.org/wordprocessingml/2006/main">
  <w:p/>
</w:hdr>
</file>

<file path=word/header17.xml><?xml version="1.0" encoding="utf-8"?>
<w:hdr xmlns:w="http://schemas.openxmlformats.org/wordprocessingml/2006/main">
  <w:p/>
</w:hdr>
</file>

<file path=word/header18.xml><?xml version="1.0" encoding="utf-8"?>
<w:hdr xmlns:w="http://schemas.openxmlformats.org/wordprocessingml/2006/main">
  <w:p/>
</w:hdr>
</file>

<file path=word/header19.xml><?xml version="1.0" encoding="utf-8"?>
<w:hdr xmlns:w="http://schemas.openxmlformats.org/wordprocessingml/2006/main">
  <w:p/>
</w:hdr>
</file>

<file path=word/header2.xml><?xml version="1.0" encoding="utf-8"?>
<w:hdr xmlns:w="http://schemas.openxmlformats.org/wordprocessingml/2006/main">
  <w:p/>
</w:hdr>
</file>

<file path=word/header20.xml><?xml version="1.0" encoding="utf-8"?>
<w:hdr xmlns:w="http://schemas.openxmlformats.org/wordprocessingml/2006/main">
  <w:p/>
</w:hdr>
</file>

<file path=word/header21.xml><?xml version="1.0" encoding="utf-8"?>
<w:hdr xmlns:w="http://schemas.openxmlformats.org/wordprocessingml/2006/main">
  <w:p/>
</w:hdr>
</file>

<file path=word/header22.xml><?xml version="1.0" encoding="utf-8"?>
<w:hdr xmlns:w="http://schemas.openxmlformats.org/wordprocessingml/2006/main">
  <w:p/>
</w:hdr>
</file>

<file path=word/header23.xml><?xml version="1.0" encoding="utf-8"?>
<w:hdr xmlns:w="http://schemas.openxmlformats.org/wordprocessingml/2006/main">
  <w:p/>
</w:hdr>
</file>

<file path=word/header24.xml><?xml version="1.0" encoding="utf-8"?>
<w:hdr xmlns:w="http://schemas.openxmlformats.org/wordprocessingml/2006/main">
  <w:p/>
</w:hdr>
</file>

<file path=word/header25.xml><?xml version="1.0" encoding="utf-8"?>
<w:hdr xmlns:w="http://schemas.openxmlformats.org/wordprocessingml/2006/main">
  <w:p/>
</w:hdr>
</file>

<file path=word/header26.xml><?xml version="1.0" encoding="utf-8"?>
<w:hdr xmlns:w="http://schemas.openxmlformats.org/wordprocessingml/2006/main">
  <w:p/>
</w:hdr>
</file>

<file path=word/header27.xml><?xml version="1.0" encoding="utf-8"?>
<w:hdr xmlns:w="http://schemas.openxmlformats.org/wordprocessingml/2006/main">
  <w:p/>
</w:hdr>
</file>

<file path=word/header3.xml><?xml version="1.0" encoding="utf-8"?>
<w:hdr xmlns:w="http://schemas.openxmlformats.org/wordprocessingml/2006/main">
  <w:p/>
</w:hdr>
</file>

<file path=word/header4.xml><?xml version="1.0" encoding="utf-8"?>
<w:hdr xmlns:w="http://schemas.openxmlformats.org/wordprocessingml/2006/main">
  <w:p/>
</w:hdr>
</file>

<file path=word/header5.xml><?xml version="1.0" encoding="utf-8"?>
<w:hdr xmlns:w="http://schemas.openxmlformats.org/wordprocessingml/2006/main">
  <w:p/>
</w:hdr>
</file>

<file path=word/header6.xml><?xml version="1.0" encoding="utf-8"?>
<w:hdr xmlns:w="http://schemas.openxmlformats.org/wordprocessingml/2006/main">
  <w:p/>
</w:hdr>
</file>

<file path=word/header7.xml><?xml version="1.0" encoding="utf-8"?>
<w:hdr xmlns:w="http://schemas.openxmlformats.org/wordprocessingml/2006/main">
  <w:p/>
</w:hdr>
</file>

<file path=word/header8.xml><?xml version="1.0" encoding="utf-8"?>
<w:hdr xmlns:w="http://schemas.openxmlformats.org/wordprocessingml/2006/main">
  <w:p/>
</w:hdr>
</file>

<file path=word/header9.xml><?xml version="1.0" encoding="utf-8"?>
<w:hdr xmlns:w="http://schemas.openxmlformats.org/wordprocessingml/2006/main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BC8"/>
    <w:rsid w:val="000D6051"/>
    <w:rsid w:val="009F0BE0"/>
    <w:rsid w:val="00BA6D97"/>
    <w:rsid w:val="00BD0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"/>
  <w15:chartTrackingRefBased/>
  <w15:docId w15:val="{96431983-C890-485F-95E8-B387FD722BBF}"/>
</w: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/word/settings.xml" Id="rId2" /><Relationship Type="http://schemas.openxmlformats.org/officeDocument/2006/relationships/image" Target="/media/image.jpg" Id="Rdacb6ab0b19c44bd" /><Relationship Type="http://schemas.openxmlformats.org/officeDocument/2006/relationships/image" Target="/media/image2.jpg" Id="R9a56c7d376c04b06" /><Relationship Type="http://schemas.openxmlformats.org/officeDocument/2006/relationships/image" Target="/media/image3.jpg" Id="R2de8d6cf20fd46ef" /><Relationship Type="http://schemas.openxmlformats.org/officeDocument/2006/relationships/image" Target="/media/image4.jpg" Id="R96bc2049fdfa415f" /><Relationship Type="http://schemas.openxmlformats.org/officeDocument/2006/relationships/footer" Target="/word/footer1.xml" Id="Rb3a80e31ecf94f4d" /><Relationship Type="http://schemas.openxmlformats.org/officeDocument/2006/relationships/header" Target="/word/header1.xml" Id="R5981d424354b45b0" /><Relationship Type="http://schemas.openxmlformats.org/officeDocument/2006/relationships/footer" Target="/word/footer2.xml" Id="Ref2a0e17efe84721" /><Relationship Type="http://schemas.openxmlformats.org/officeDocument/2006/relationships/header" Target="/word/header2.xml" Id="R0aa8492d7592447f" /><Relationship Type="http://schemas.openxmlformats.org/officeDocument/2006/relationships/footer" Target="/word/footer3.xml" Id="R5b8d11a98c344d20" /><Relationship Type="http://schemas.openxmlformats.org/officeDocument/2006/relationships/header" Target="/word/header3.xml" Id="R7a2f49b3f9554a42" /><Relationship Type="http://schemas.openxmlformats.org/officeDocument/2006/relationships/footer" Target="/word/footer4.xml" Id="R11b51208ab99475b" /><Relationship Type="http://schemas.openxmlformats.org/officeDocument/2006/relationships/header" Target="/word/header4.xml" Id="Re26a5bc179024fe6" /><Relationship Type="http://schemas.openxmlformats.org/officeDocument/2006/relationships/footer" Target="/word/footer5.xml" Id="R5f0e3faa8e5c432c" /><Relationship Type="http://schemas.openxmlformats.org/officeDocument/2006/relationships/header" Target="/word/header5.xml" Id="R963b7997f87746eb" /><Relationship Type="http://schemas.openxmlformats.org/officeDocument/2006/relationships/footer" Target="/word/footer6.xml" Id="Ra3de0ecf95584090" /><Relationship Type="http://schemas.openxmlformats.org/officeDocument/2006/relationships/header" Target="/word/header6.xml" Id="R6a74dc8b7e914eb8" /><Relationship Type="http://schemas.openxmlformats.org/officeDocument/2006/relationships/footer" Target="/word/footer7.xml" Id="R1e8c2f6996f34110" /><Relationship Type="http://schemas.openxmlformats.org/officeDocument/2006/relationships/header" Target="/word/header7.xml" Id="R24e8aff5061948fa" /><Relationship Type="http://schemas.openxmlformats.org/officeDocument/2006/relationships/footer" Target="/word/footer8.xml" Id="Rd9b6452a49814662" /><Relationship Type="http://schemas.openxmlformats.org/officeDocument/2006/relationships/header" Target="/word/header8.xml" Id="R8cbe794b80054f80" /><Relationship Type="http://schemas.openxmlformats.org/officeDocument/2006/relationships/footer" Target="/word/footer9.xml" Id="R71017c4c15694eee" /><Relationship Type="http://schemas.openxmlformats.org/officeDocument/2006/relationships/header" Target="/word/header9.xml" Id="Ra4f7ff5f3b444851" /><Relationship Type="http://schemas.openxmlformats.org/officeDocument/2006/relationships/footer" Target="/word/footer10.xml" Id="R1fe402007d4143a9" /><Relationship Type="http://schemas.openxmlformats.org/officeDocument/2006/relationships/header" Target="/word/header10.xml" Id="Rc7dcfc98245d4c23" /><Relationship Type="http://schemas.openxmlformats.org/officeDocument/2006/relationships/footer" Target="/word/footer11.xml" Id="Rc18bf78b2944401d" /><Relationship Type="http://schemas.openxmlformats.org/officeDocument/2006/relationships/header" Target="/word/header11.xml" Id="R69c1a72a95964ed5" /><Relationship Type="http://schemas.openxmlformats.org/officeDocument/2006/relationships/footer" Target="/word/footer12.xml" Id="R52a745b90140499e" /><Relationship Type="http://schemas.openxmlformats.org/officeDocument/2006/relationships/header" Target="/word/header12.xml" Id="R716fdbda9b6845d7" /><Relationship Type="http://schemas.openxmlformats.org/officeDocument/2006/relationships/footer" Target="/word/footer13.xml" Id="Rb6dcba1041d54c94" /><Relationship Type="http://schemas.openxmlformats.org/officeDocument/2006/relationships/header" Target="/word/header13.xml" Id="R68f31c6455c04ae2" /><Relationship Type="http://schemas.openxmlformats.org/officeDocument/2006/relationships/footer" Target="/word/footer14.xml" Id="R67f65494411847ba" /><Relationship Type="http://schemas.openxmlformats.org/officeDocument/2006/relationships/header" Target="/word/header14.xml" Id="R56f4f4971ac34317" /><Relationship Type="http://schemas.openxmlformats.org/officeDocument/2006/relationships/footer" Target="/word/footer15.xml" Id="Rc3cbca70767b4ce1" /><Relationship Type="http://schemas.openxmlformats.org/officeDocument/2006/relationships/header" Target="/word/header15.xml" Id="Rdd524eec47984c01" /><Relationship Type="http://schemas.openxmlformats.org/officeDocument/2006/relationships/footer" Target="/word/footer16.xml" Id="R3c037c8e580d4b21" /><Relationship Type="http://schemas.openxmlformats.org/officeDocument/2006/relationships/header" Target="/word/header16.xml" Id="Re5e3fbfee8154297" /><Relationship Type="http://schemas.openxmlformats.org/officeDocument/2006/relationships/footer" Target="/word/footer17.xml" Id="R4273705662a44885" /><Relationship Type="http://schemas.openxmlformats.org/officeDocument/2006/relationships/header" Target="/word/header17.xml" Id="R49808409181b4c41" /><Relationship Type="http://schemas.openxmlformats.org/officeDocument/2006/relationships/footer" Target="/word/footer18.xml" Id="Re623a0a8c2cc422d" /><Relationship Type="http://schemas.openxmlformats.org/officeDocument/2006/relationships/header" Target="/word/header18.xml" Id="R770e9739d97f4fda" /><Relationship Type="http://schemas.openxmlformats.org/officeDocument/2006/relationships/footer" Target="/word/footer19.xml" Id="Rf6b6866e76b04b3b" /><Relationship Type="http://schemas.openxmlformats.org/officeDocument/2006/relationships/header" Target="/word/header19.xml" Id="R1ffffaf4c5ef40e9" /><Relationship Type="http://schemas.openxmlformats.org/officeDocument/2006/relationships/footer" Target="/word/footer20.xml" Id="R2773c87a0592450d" /><Relationship Type="http://schemas.openxmlformats.org/officeDocument/2006/relationships/header" Target="/word/header20.xml" Id="R5ce1c15fa6f242fe" /><Relationship Type="http://schemas.openxmlformats.org/officeDocument/2006/relationships/footer" Target="/word/footer21.xml" Id="Rc65e435efc434ac0" /><Relationship Type="http://schemas.openxmlformats.org/officeDocument/2006/relationships/header" Target="/word/header21.xml" Id="R5f8b2d97ec0e49fd" /><Relationship Type="http://schemas.openxmlformats.org/officeDocument/2006/relationships/footer" Target="/word/footer22.xml" Id="Re2f3a161bca54df2" /><Relationship Type="http://schemas.openxmlformats.org/officeDocument/2006/relationships/header" Target="/word/header22.xml" Id="R926051d6ed8348b0" /><Relationship Type="http://schemas.openxmlformats.org/officeDocument/2006/relationships/footer" Target="/word/footer23.xml" Id="R89281398584744fa" /><Relationship Type="http://schemas.openxmlformats.org/officeDocument/2006/relationships/header" Target="/word/header23.xml" Id="R7f995a32371a42f4" /><Relationship Type="http://schemas.openxmlformats.org/officeDocument/2006/relationships/footer" Target="/word/footer24.xml" Id="R51e54a20e44b45b2" /><Relationship Type="http://schemas.openxmlformats.org/officeDocument/2006/relationships/header" Target="/word/header24.xml" Id="Rb45d7ee1656e4501" /><Relationship Type="http://schemas.openxmlformats.org/officeDocument/2006/relationships/footer" Target="/word/footer25.xml" Id="R5c445fd32ad24af7" /><Relationship Type="http://schemas.openxmlformats.org/officeDocument/2006/relationships/header" Target="/word/header25.xml" Id="R03875b95f63c44db" /><Relationship Type="http://schemas.openxmlformats.org/officeDocument/2006/relationships/footer" Target="/word/footer26.xml" Id="R5980bbccabc14fd9" /><Relationship Type="http://schemas.openxmlformats.org/officeDocument/2006/relationships/header" Target="/word/header26.xml" Id="Rb32c2c9279ba490f" /><Relationship Type="http://schemas.openxmlformats.org/officeDocument/2006/relationships/footer" Target="/word/footer27.xml" Id="R68e436fcbfae42db" /><Relationship Type="http://schemas.openxmlformats.org/officeDocument/2006/relationships/header" Target="/word/header27.xml" Id="R9d01f3b795d24399" /></Relationships>
</file>