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45201A" w14:textId="77777777" w:rsidR="0040793A" w:rsidRDefault="00DF7EA2" w:rsidP="0040793A">
      <w:pPr>
        <w:spacing w:after="200" w:line="240" w:lineRule="auto"/>
        <w:jc w:val="center"/>
        <w:outlineLvl w:val="0"/>
        <w:rPr>
          <w:rFonts w:ascii="Times New Roman" w:eastAsia="Times New Roman" w:hAnsi="Times New Roman" w:cs="Times New Roman"/>
          <w:b/>
          <w:sz w:val="28"/>
          <w:szCs w:val="28"/>
          <w:lang w:eastAsia="en-GB"/>
        </w:rPr>
      </w:pPr>
      <w:bookmarkStart w:id="0" w:name="_Toc384074386"/>
      <w:bookmarkStart w:id="1" w:name="_Toc384219390"/>
      <w:bookmarkStart w:id="2" w:name="_Toc384274297"/>
      <w:bookmarkStart w:id="3" w:name="_Toc393166978"/>
      <w:r>
        <w:rPr>
          <w:rFonts w:ascii="Times New Roman" w:eastAsia="Times New Roman" w:hAnsi="Times New Roman" w:cs="Times New Roman"/>
          <w:b/>
          <w:sz w:val="28"/>
          <w:szCs w:val="28"/>
          <w:lang w:eastAsia="en-GB"/>
        </w:rPr>
        <w:t>A SWOT ANALYSIS OF</w:t>
      </w:r>
      <w:r w:rsidR="0040793A" w:rsidRPr="0040793A">
        <w:rPr>
          <w:rFonts w:ascii="Times New Roman" w:eastAsia="Times New Roman" w:hAnsi="Times New Roman" w:cs="Times New Roman"/>
          <w:b/>
          <w:sz w:val="28"/>
          <w:szCs w:val="28"/>
          <w:lang w:eastAsia="en-GB"/>
        </w:rPr>
        <w:t xml:space="preserve"> THE DISPUTE RESOLUTION MECHANISMS</w:t>
      </w:r>
      <w:bookmarkEnd w:id="0"/>
      <w:bookmarkEnd w:id="1"/>
      <w:bookmarkEnd w:id="2"/>
      <w:bookmarkEnd w:id="3"/>
      <w:r>
        <w:rPr>
          <w:rFonts w:ascii="Times New Roman" w:eastAsia="Times New Roman" w:hAnsi="Times New Roman" w:cs="Times New Roman"/>
          <w:b/>
          <w:sz w:val="28"/>
          <w:szCs w:val="28"/>
          <w:lang w:eastAsia="en-GB"/>
        </w:rPr>
        <w:t xml:space="preserve"> </w:t>
      </w:r>
      <w:r w:rsidR="00DA5F50">
        <w:rPr>
          <w:rFonts w:ascii="Times New Roman" w:eastAsia="Times New Roman" w:hAnsi="Times New Roman" w:cs="Times New Roman"/>
          <w:b/>
          <w:sz w:val="28"/>
          <w:szCs w:val="28"/>
          <w:lang w:eastAsia="en-GB"/>
        </w:rPr>
        <w:t>IN</w:t>
      </w:r>
      <w:r>
        <w:rPr>
          <w:rFonts w:ascii="Times New Roman" w:eastAsia="Times New Roman" w:hAnsi="Times New Roman" w:cs="Times New Roman"/>
          <w:b/>
          <w:sz w:val="28"/>
          <w:szCs w:val="28"/>
          <w:lang w:eastAsia="en-GB"/>
        </w:rPr>
        <w:t xml:space="preserve"> THE ISLAMIC FINANCE INDUSTRY IN</w:t>
      </w:r>
      <w:r w:rsidR="00DA5F50">
        <w:rPr>
          <w:rFonts w:ascii="Times New Roman" w:eastAsia="Times New Roman" w:hAnsi="Times New Roman" w:cs="Times New Roman"/>
          <w:b/>
          <w:sz w:val="28"/>
          <w:szCs w:val="28"/>
          <w:lang w:eastAsia="en-GB"/>
        </w:rPr>
        <w:t xml:space="preserve"> MALAYSIA</w:t>
      </w:r>
    </w:p>
    <w:p w14:paraId="67ED4D73" w14:textId="77777777" w:rsidR="00B87132" w:rsidRDefault="00B87132" w:rsidP="0040793A">
      <w:pPr>
        <w:spacing w:after="200" w:line="240" w:lineRule="auto"/>
        <w:jc w:val="center"/>
        <w:outlineLvl w:val="0"/>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By</w:t>
      </w:r>
    </w:p>
    <w:p w14:paraId="15C123F9" w14:textId="77777777" w:rsidR="00B87132" w:rsidRDefault="00B87132" w:rsidP="00B87132">
      <w:pPr>
        <w:spacing w:after="0" w:line="240" w:lineRule="auto"/>
        <w:jc w:val="center"/>
        <w:outlineLvl w:val="0"/>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Aishat Abdul-Qadir Zubair</w:t>
      </w:r>
    </w:p>
    <w:p w14:paraId="2D8DD037" w14:textId="77777777" w:rsidR="00B87132" w:rsidRDefault="00B87132" w:rsidP="00B87132">
      <w:pPr>
        <w:spacing w:after="0" w:line="240" w:lineRule="auto"/>
        <w:jc w:val="center"/>
        <w:outlineLvl w:val="0"/>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(Lecturer Kwara State University</w:t>
      </w:r>
      <w:r w:rsidR="00DF7EA2">
        <w:rPr>
          <w:rFonts w:ascii="Times New Roman" w:eastAsia="Times New Roman" w:hAnsi="Times New Roman" w:cs="Times New Roman"/>
          <w:sz w:val="24"/>
          <w:szCs w:val="24"/>
          <w:lang w:eastAsia="en-GB"/>
        </w:rPr>
        <w:t>,</w:t>
      </w:r>
      <w:r>
        <w:rPr>
          <w:rFonts w:ascii="Times New Roman" w:eastAsia="Times New Roman" w:hAnsi="Times New Roman" w:cs="Times New Roman"/>
          <w:sz w:val="24"/>
          <w:szCs w:val="24"/>
          <w:lang w:eastAsia="en-GB"/>
        </w:rPr>
        <w:t xml:space="preserve"> Malete)</w:t>
      </w:r>
    </w:p>
    <w:p w14:paraId="34798FC5" w14:textId="77777777" w:rsidR="00B87132" w:rsidRDefault="00B87132" w:rsidP="00B87132">
      <w:pPr>
        <w:spacing w:after="0" w:line="240" w:lineRule="auto"/>
        <w:jc w:val="center"/>
        <w:outlineLvl w:val="0"/>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Professor</w:t>
      </w:r>
      <w:r w:rsidR="00DF7EA2">
        <w:rPr>
          <w:rFonts w:ascii="Times New Roman" w:eastAsia="Times New Roman" w:hAnsi="Times New Roman" w:cs="Times New Roman"/>
          <w:sz w:val="24"/>
          <w:szCs w:val="24"/>
          <w:lang w:eastAsia="en-GB"/>
        </w:rPr>
        <w:t xml:space="preserve"> Dr. Engk</w:t>
      </w:r>
      <w:r>
        <w:rPr>
          <w:rFonts w:ascii="Times New Roman" w:eastAsia="Times New Roman" w:hAnsi="Times New Roman" w:cs="Times New Roman"/>
          <w:sz w:val="24"/>
          <w:szCs w:val="24"/>
          <w:lang w:eastAsia="en-GB"/>
        </w:rPr>
        <w:t>u Rabiah Adawiah</w:t>
      </w:r>
      <w:r w:rsidR="00DF7EA2">
        <w:rPr>
          <w:rFonts w:ascii="Times New Roman" w:eastAsia="Times New Roman" w:hAnsi="Times New Roman" w:cs="Times New Roman"/>
          <w:sz w:val="24"/>
          <w:szCs w:val="24"/>
          <w:lang w:eastAsia="en-GB"/>
        </w:rPr>
        <w:t xml:space="preserve"> Ali</w:t>
      </w:r>
    </w:p>
    <w:p w14:paraId="368D3E7A" w14:textId="77777777" w:rsidR="00B87132" w:rsidRPr="00B87132" w:rsidRDefault="00B87132" w:rsidP="00B87132">
      <w:pPr>
        <w:spacing w:after="0" w:line="240" w:lineRule="auto"/>
        <w:jc w:val="center"/>
        <w:outlineLvl w:val="0"/>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(I</w:t>
      </w:r>
      <w:r w:rsidR="00DF7EA2">
        <w:rPr>
          <w:rFonts w:ascii="Times New Roman" w:eastAsia="Times New Roman" w:hAnsi="Times New Roman" w:cs="Times New Roman"/>
          <w:sz w:val="24"/>
          <w:szCs w:val="24"/>
          <w:lang w:eastAsia="en-GB"/>
        </w:rPr>
        <w:t>nstitu</w:t>
      </w:r>
      <w:r w:rsidR="00DD46EC">
        <w:rPr>
          <w:rFonts w:ascii="Times New Roman" w:eastAsia="Times New Roman" w:hAnsi="Times New Roman" w:cs="Times New Roman"/>
          <w:sz w:val="24"/>
          <w:szCs w:val="24"/>
          <w:lang w:eastAsia="en-GB"/>
        </w:rPr>
        <w:t>t</w:t>
      </w:r>
      <w:r w:rsidR="00DF7EA2">
        <w:rPr>
          <w:rFonts w:ascii="Times New Roman" w:eastAsia="Times New Roman" w:hAnsi="Times New Roman" w:cs="Times New Roman"/>
          <w:sz w:val="24"/>
          <w:szCs w:val="24"/>
          <w:lang w:eastAsia="en-GB"/>
        </w:rPr>
        <w:t xml:space="preserve">e of </w:t>
      </w:r>
      <w:r>
        <w:rPr>
          <w:rFonts w:ascii="Times New Roman" w:eastAsia="Times New Roman" w:hAnsi="Times New Roman" w:cs="Times New Roman"/>
          <w:sz w:val="24"/>
          <w:szCs w:val="24"/>
          <w:lang w:eastAsia="en-GB"/>
        </w:rPr>
        <w:t>I</w:t>
      </w:r>
      <w:r w:rsidR="00DF7EA2">
        <w:rPr>
          <w:rFonts w:ascii="Times New Roman" w:eastAsia="Times New Roman" w:hAnsi="Times New Roman" w:cs="Times New Roman"/>
          <w:sz w:val="24"/>
          <w:szCs w:val="24"/>
          <w:lang w:eastAsia="en-GB"/>
        </w:rPr>
        <w:t xml:space="preserve">slamic </w:t>
      </w:r>
      <w:r>
        <w:rPr>
          <w:rFonts w:ascii="Times New Roman" w:eastAsia="Times New Roman" w:hAnsi="Times New Roman" w:cs="Times New Roman"/>
          <w:sz w:val="24"/>
          <w:szCs w:val="24"/>
          <w:lang w:eastAsia="en-GB"/>
        </w:rPr>
        <w:t>B</w:t>
      </w:r>
      <w:r w:rsidR="00DF7EA2">
        <w:rPr>
          <w:rFonts w:ascii="Times New Roman" w:eastAsia="Times New Roman" w:hAnsi="Times New Roman" w:cs="Times New Roman"/>
          <w:sz w:val="24"/>
          <w:szCs w:val="24"/>
          <w:lang w:eastAsia="en-GB"/>
        </w:rPr>
        <w:t xml:space="preserve">anking and </w:t>
      </w:r>
      <w:r>
        <w:rPr>
          <w:rFonts w:ascii="Times New Roman" w:eastAsia="Times New Roman" w:hAnsi="Times New Roman" w:cs="Times New Roman"/>
          <w:sz w:val="24"/>
          <w:szCs w:val="24"/>
          <w:lang w:eastAsia="en-GB"/>
        </w:rPr>
        <w:t>F</w:t>
      </w:r>
      <w:r w:rsidR="00DF7EA2">
        <w:rPr>
          <w:rFonts w:ascii="Times New Roman" w:eastAsia="Times New Roman" w:hAnsi="Times New Roman" w:cs="Times New Roman"/>
          <w:sz w:val="24"/>
          <w:szCs w:val="24"/>
          <w:lang w:eastAsia="en-GB"/>
        </w:rPr>
        <w:t>inance</w:t>
      </w:r>
      <w:r>
        <w:rPr>
          <w:rFonts w:ascii="Times New Roman" w:eastAsia="Times New Roman" w:hAnsi="Times New Roman" w:cs="Times New Roman"/>
          <w:sz w:val="24"/>
          <w:szCs w:val="24"/>
          <w:lang w:eastAsia="en-GB"/>
        </w:rPr>
        <w:t>, International Islamic University Malaysia)</w:t>
      </w:r>
    </w:p>
    <w:p w14:paraId="63A293DA" w14:textId="77777777" w:rsidR="0040793A" w:rsidRPr="0040793A" w:rsidRDefault="0040793A" w:rsidP="0040793A">
      <w:pPr>
        <w:spacing w:after="0" w:line="480" w:lineRule="auto"/>
        <w:jc w:val="both"/>
        <w:rPr>
          <w:rFonts w:ascii="Times New Roman" w:eastAsia="Times New Roman" w:hAnsi="Times New Roman" w:cs="Times New Roman"/>
          <w:b/>
          <w:sz w:val="24"/>
          <w:szCs w:val="24"/>
          <w:lang w:eastAsia="en-GB"/>
        </w:rPr>
      </w:pPr>
    </w:p>
    <w:p w14:paraId="6F0F019C" w14:textId="77777777" w:rsidR="00732CB8" w:rsidRPr="00732CB8" w:rsidRDefault="00205B9C" w:rsidP="00732CB8">
      <w:pPr>
        <w:spacing w:after="0" w:line="480" w:lineRule="auto"/>
        <w:jc w:val="both"/>
        <w:rPr>
          <w:rFonts w:ascii="Times New Roman" w:eastAsia="Times New Roman" w:hAnsi="Times New Roman" w:cs="Times New Roman"/>
          <w:b/>
          <w:sz w:val="24"/>
          <w:szCs w:val="24"/>
          <w:lang w:eastAsia="en-GB"/>
        </w:rPr>
      </w:pPr>
      <w:r>
        <w:rPr>
          <w:rFonts w:ascii="Times New Roman" w:eastAsia="Times New Roman" w:hAnsi="Times New Roman" w:cs="Times New Roman"/>
          <w:b/>
          <w:sz w:val="24"/>
          <w:szCs w:val="24"/>
          <w:lang w:eastAsia="en-GB"/>
        </w:rPr>
        <w:t>Summary of the Chapter</w:t>
      </w:r>
    </w:p>
    <w:p w14:paraId="2DBDC1B2" w14:textId="77777777" w:rsidR="00732CB8" w:rsidRPr="0040793A" w:rsidRDefault="00732CB8" w:rsidP="00205B9C">
      <w:pPr>
        <w:spacing w:after="0" w:line="360" w:lineRule="auto"/>
        <w:jc w:val="both"/>
        <w:rPr>
          <w:rFonts w:ascii="Times New Roman" w:eastAsia="Times New Roman" w:hAnsi="Times New Roman" w:cs="Times New Roman"/>
          <w:sz w:val="24"/>
          <w:szCs w:val="24"/>
          <w:lang w:val="en-MY" w:eastAsia="en-GB"/>
        </w:rPr>
      </w:pPr>
      <w:r w:rsidRPr="0040793A">
        <w:rPr>
          <w:rFonts w:ascii="Times New Roman" w:eastAsia="Times New Roman" w:hAnsi="Times New Roman" w:cs="Times New Roman"/>
          <w:sz w:val="24"/>
          <w:szCs w:val="24"/>
          <w:lang w:val="en-MY" w:eastAsia="en-GB"/>
        </w:rPr>
        <w:t xml:space="preserve">This chapter is divided into seven sections. The first section gives a general introduction and section two examines the court process as a mechanism for the resolution of Islamic finance disputes in Malaysia. This is followed by the third section that evaluates the use of arbitration under the auspices of the Kuala Lumpur Regional Centre for Arbitration (KLRCA). Section four deals with the court-annexed mediation under the auspices of Kuala Lumpur Court Mediation Centre (KLCMC); while section five deals with mediation/adjudication under the auspices of the Financial Mediation Bureau (FMB). The process of mediation under the Malaysian Mediation Centre (MMC) is the main aim of section six while the last section which is section seven gives a general conclusion. </w:t>
      </w:r>
    </w:p>
    <w:p w14:paraId="63BCA599" w14:textId="77777777" w:rsidR="00732CB8" w:rsidRPr="00732CB8" w:rsidRDefault="00732CB8" w:rsidP="00732CB8">
      <w:pPr>
        <w:spacing w:after="0" w:line="480" w:lineRule="auto"/>
        <w:jc w:val="both"/>
        <w:rPr>
          <w:rFonts w:ascii="Times New Roman" w:eastAsia="Times New Roman" w:hAnsi="Times New Roman" w:cs="Times New Roman"/>
          <w:b/>
          <w:sz w:val="24"/>
          <w:szCs w:val="24"/>
          <w:lang w:eastAsia="en-GB"/>
        </w:rPr>
      </w:pPr>
    </w:p>
    <w:p w14:paraId="5729D9EA" w14:textId="77777777" w:rsidR="0040793A" w:rsidRPr="0040793A" w:rsidRDefault="0040793A" w:rsidP="0040793A">
      <w:pPr>
        <w:spacing w:after="200" w:line="240" w:lineRule="auto"/>
        <w:jc w:val="both"/>
        <w:outlineLvl w:val="1"/>
        <w:rPr>
          <w:rFonts w:ascii="Times New Roman" w:eastAsia="Calibri" w:hAnsi="Times New Roman" w:cs="Times New Roman"/>
          <w:b/>
          <w:sz w:val="24"/>
          <w:szCs w:val="24"/>
        </w:rPr>
      </w:pPr>
      <w:bookmarkStart w:id="4" w:name="_Toc384074387"/>
      <w:bookmarkStart w:id="5" w:name="_Toc384219391"/>
      <w:bookmarkStart w:id="6" w:name="_Toc384274298"/>
      <w:bookmarkStart w:id="7" w:name="_Toc393166979"/>
      <w:r w:rsidRPr="0040793A">
        <w:rPr>
          <w:rFonts w:ascii="Times New Roman" w:eastAsia="Calibri" w:hAnsi="Times New Roman" w:cs="Times New Roman"/>
          <w:b/>
          <w:sz w:val="24"/>
          <w:szCs w:val="24"/>
        </w:rPr>
        <w:t xml:space="preserve"> INTRODUCTION</w:t>
      </w:r>
      <w:bookmarkEnd w:id="4"/>
      <w:bookmarkEnd w:id="5"/>
      <w:bookmarkEnd w:id="6"/>
      <w:bookmarkEnd w:id="7"/>
    </w:p>
    <w:p w14:paraId="7B99BF18" w14:textId="77777777" w:rsidR="00714868" w:rsidRDefault="002222DB" w:rsidP="002222DB">
      <w:pPr>
        <w:spacing w:after="0" w:line="360" w:lineRule="auto"/>
        <w:jc w:val="both"/>
        <w:rPr>
          <w:rFonts w:ascii="Times New Roman" w:eastAsia="Times New Roman" w:hAnsi="Times New Roman" w:cs="Times New Roman"/>
          <w:sz w:val="24"/>
          <w:szCs w:val="24"/>
          <w:lang w:eastAsia="en-GB"/>
        </w:rPr>
      </w:pPr>
      <w:r w:rsidRPr="002222DB">
        <w:rPr>
          <w:rFonts w:ascii="Times New Roman" w:eastAsia="Times New Roman" w:hAnsi="Times New Roman" w:cs="Times New Roman"/>
          <w:sz w:val="24"/>
          <w:szCs w:val="24"/>
          <w:lang w:eastAsia="en-GB"/>
        </w:rPr>
        <w:t xml:space="preserve">With the increasing boost to the Malaysian Islamic finance industry and the sophistication experienced in the industry with regards to product development, there is a consequential downside of such enviable achievements, which is the gradual surge in the number of disputes involving </w:t>
      </w:r>
      <w:r w:rsidRPr="002222DB">
        <w:rPr>
          <w:rFonts w:ascii="Times New Roman" w:eastAsia="Times New Roman" w:hAnsi="Times New Roman" w:cs="Times New Roman"/>
          <w:i/>
          <w:sz w:val="24"/>
          <w:szCs w:val="24"/>
          <w:lang w:eastAsia="en-GB"/>
        </w:rPr>
        <w:t>Sharī‘ah</w:t>
      </w:r>
      <w:r w:rsidRPr="002222DB">
        <w:rPr>
          <w:rFonts w:ascii="Times New Roman" w:eastAsia="Times New Roman" w:hAnsi="Times New Roman" w:cs="Times New Roman"/>
          <w:sz w:val="24"/>
          <w:szCs w:val="24"/>
          <w:lang w:eastAsia="en-GB"/>
        </w:rPr>
        <w:t xml:space="preserve"> compliant transactions. </w:t>
      </w:r>
      <w:r w:rsidR="0056189A" w:rsidRPr="0056189A">
        <w:rPr>
          <w:rFonts w:ascii="Times New Roman" w:eastAsia="Times New Roman" w:hAnsi="Times New Roman" w:cs="Times New Roman"/>
          <w:sz w:val="24"/>
          <w:szCs w:val="24"/>
          <w:lang w:eastAsia="en-GB"/>
        </w:rPr>
        <w:t xml:space="preserve">It is imperative to note that the essential element in developing an effective legal infrastructure is the role of an adjudication system. The adjudication system within the context of Islamic finance must therefore be one which can authoritatively enforce the principles of </w:t>
      </w:r>
      <w:r w:rsidR="0056189A" w:rsidRPr="0056189A">
        <w:rPr>
          <w:rFonts w:ascii="Times New Roman" w:eastAsia="Times New Roman" w:hAnsi="Times New Roman" w:cs="Times New Roman"/>
          <w:i/>
          <w:sz w:val="24"/>
          <w:szCs w:val="24"/>
          <w:lang w:eastAsia="en-GB"/>
        </w:rPr>
        <w:t xml:space="preserve">Sharī‘ah </w:t>
      </w:r>
      <w:r w:rsidR="0056189A" w:rsidRPr="0056189A">
        <w:rPr>
          <w:rFonts w:ascii="Times New Roman" w:eastAsia="Times New Roman" w:hAnsi="Times New Roman" w:cs="Times New Roman"/>
          <w:sz w:val="24"/>
          <w:szCs w:val="24"/>
          <w:lang w:eastAsia="en-GB"/>
        </w:rPr>
        <w:t xml:space="preserve">in dispute settlements involving Islamic financial transactions. Therefore there is a crucial need for a dispute settlement mechanism that is able and competent to dissect in a judicious manner, </w:t>
      </w:r>
      <w:r w:rsidR="0056189A" w:rsidRPr="0056189A">
        <w:rPr>
          <w:rFonts w:ascii="Times New Roman" w:eastAsia="Times New Roman" w:hAnsi="Times New Roman" w:cs="Times New Roman"/>
          <w:i/>
          <w:sz w:val="24"/>
          <w:szCs w:val="24"/>
          <w:lang w:eastAsia="en-GB"/>
        </w:rPr>
        <w:t xml:space="preserve">Sharī‘ah </w:t>
      </w:r>
      <w:r w:rsidR="0056189A" w:rsidRPr="0056189A">
        <w:rPr>
          <w:rFonts w:ascii="Times New Roman" w:eastAsia="Times New Roman" w:hAnsi="Times New Roman" w:cs="Times New Roman"/>
          <w:sz w:val="24"/>
          <w:szCs w:val="24"/>
          <w:lang w:eastAsia="en-GB"/>
        </w:rPr>
        <w:t xml:space="preserve">matters in contracts, so that issues of dispute in </w:t>
      </w:r>
      <w:r w:rsidR="0056189A" w:rsidRPr="0056189A">
        <w:rPr>
          <w:rFonts w:ascii="Times New Roman" w:eastAsia="Times New Roman" w:hAnsi="Times New Roman" w:cs="Times New Roman"/>
          <w:i/>
          <w:sz w:val="24"/>
          <w:szCs w:val="24"/>
          <w:lang w:eastAsia="en-GB"/>
        </w:rPr>
        <w:t xml:space="preserve">Sharī‘ah </w:t>
      </w:r>
      <w:r w:rsidR="0056189A" w:rsidRPr="0056189A">
        <w:rPr>
          <w:rFonts w:ascii="Times New Roman" w:eastAsia="Times New Roman" w:hAnsi="Times New Roman" w:cs="Times New Roman"/>
          <w:sz w:val="24"/>
          <w:szCs w:val="24"/>
          <w:lang w:eastAsia="en-GB"/>
        </w:rPr>
        <w:t>interpretation could be resolved and enforced accordingly.</w:t>
      </w:r>
      <w:r w:rsidR="0056189A" w:rsidRPr="0056189A">
        <w:rPr>
          <w:rFonts w:ascii="Times New Roman" w:eastAsia="Times New Roman" w:hAnsi="Times New Roman" w:cs="Times New Roman"/>
          <w:sz w:val="24"/>
          <w:szCs w:val="24"/>
          <w:vertAlign w:val="superscript"/>
          <w:lang w:eastAsia="en-GB"/>
        </w:rPr>
        <w:footnoteReference w:id="1"/>
      </w:r>
      <w:r w:rsidR="0056189A" w:rsidRPr="0056189A">
        <w:rPr>
          <w:rFonts w:ascii="Times New Roman" w:eastAsia="Times New Roman" w:hAnsi="Times New Roman" w:cs="Times New Roman"/>
          <w:sz w:val="24"/>
          <w:szCs w:val="24"/>
          <w:lang w:eastAsia="en-GB"/>
        </w:rPr>
        <w:t xml:space="preserve"> </w:t>
      </w:r>
    </w:p>
    <w:p w14:paraId="5444FACC" w14:textId="77777777" w:rsidR="0056189A" w:rsidRPr="00714868" w:rsidRDefault="0056189A" w:rsidP="0056189A">
      <w:pPr>
        <w:spacing w:after="0" w:line="360" w:lineRule="auto"/>
        <w:jc w:val="both"/>
        <w:rPr>
          <w:rFonts w:ascii="Times New Roman" w:eastAsia="Times New Roman" w:hAnsi="Times New Roman" w:cs="Times New Roman"/>
          <w:sz w:val="24"/>
          <w:szCs w:val="24"/>
          <w:lang w:eastAsia="en-GB"/>
        </w:rPr>
      </w:pPr>
      <w:r w:rsidRPr="0056189A">
        <w:rPr>
          <w:rFonts w:ascii="Times New Roman" w:eastAsia="Times New Roman" w:hAnsi="Times New Roman" w:cs="Times New Roman"/>
          <w:sz w:val="24"/>
          <w:szCs w:val="24"/>
          <w:lang w:eastAsia="en-GB"/>
        </w:rPr>
        <w:lastRenderedPageBreak/>
        <w:t>At present, apart from the widely known litigation process at the Muamalat Bench of the Commercial Division in the High Court of Malaysia, there are other alternatives which are less formal in terms of procedural issues and legal technicalities. Such alternative</w:t>
      </w:r>
      <w:r w:rsidR="00714868">
        <w:rPr>
          <w:rFonts w:ascii="Times New Roman" w:eastAsia="Times New Roman" w:hAnsi="Times New Roman" w:cs="Times New Roman"/>
          <w:sz w:val="24"/>
          <w:szCs w:val="24"/>
          <w:lang w:eastAsia="en-GB"/>
        </w:rPr>
        <w:t xml:space="preserve"> mechanisms include the</w:t>
      </w:r>
      <w:r w:rsidRPr="0056189A">
        <w:rPr>
          <w:rFonts w:ascii="Times New Roman" w:eastAsia="Times New Roman" w:hAnsi="Times New Roman" w:cs="Times New Roman"/>
          <w:sz w:val="24"/>
          <w:szCs w:val="24"/>
          <w:lang w:eastAsia="en-GB"/>
        </w:rPr>
        <w:t xml:space="preserve"> established Kuala Lumpur Court Mediation Centre (KLCMC) annexed to the High Court, Islamic finance arbitration under the i-Arbitration Rules 2013 of the Kuala Lumpur Regional Centre for Arbitration (KLRCA), Financial Mediation Bureau (FMB) set up by Bank Negara Malaysia (BNM), Malaysian Mediati</w:t>
      </w:r>
      <w:r w:rsidR="00714868">
        <w:rPr>
          <w:rFonts w:ascii="Times New Roman" w:eastAsia="Times New Roman" w:hAnsi="Times New Roman" w:cs="Times New Roman"/>
          <w:sz w:val="24"/>
          <w:szCs w:val="24"/>
          <w:lang w:eastAsia="en-GB"/>
        </w:rPr>
        <w:t>on Centre (MMC) and the</w:t>
      </w:r>
      <w:r w:rsidRPr="0056189A">
        <w:rPr>
          <w:rFonts w:ascii="Times New Roman" w:eastAsia="Times New Roman" w:hAnsi="Times New Roman" w:cs="Times New Roman"/>
          <w:sz w:val="24"/>
          <w:szCs w:val="24"/>
          <w:lang w:eastAsia="en-GB"/>
        </w:rPr>
        <w:t xml:space="preserve"> established Securities Industry Dispute Resolution Centre (SIDREC) which is relevant for the resolution of disputes involving </w:t>
      </w:r>
      <w:r w:rsidRPr="0056189A">
        <w:rPr>
          <w:rFonts w:ascii="Times New Roman" w:eastAsia="Times New Roman" w:hAnsi="Times New Roman" w:cs="Times New Roman"/>
          <w:i/>
          <w:iCs/>
          <w:sz w:val="24"/>
          <w:szCs w:val="24"/>
          <w:lang w:eastAsia="en-GB"/>
        </w:rPr>
        <w:t>Sharī‘ah</w:t>
      </w:r>
      <w:r w:rsidRPr="0056189A">
        <w:rPr>
          <w:rFonts w:ascii="Times New Roman" w:eastAsia="Times New Roman" w:hAnsi="Times New Roman" w:cs="Times New Roman"/>
          <w:sz w:val="24"/>
          <w:szCs w:val="24"/>
          <w:lang w:eastAsia="en-GB"/>
        </w:rPr>
        <w:t>-compliant securities.</w:t>
      </w:r>
      <w:r w:rsidR="002222DB" w:rsidRPr="002222DB">
        <w:t xml:space="preserve"> </w:t>
      </w:r>
      <w:r w:rsidR="002222DB" w:rsidRPr="002222DB">
        <w:rPr>
          <w:rFonts w:ascii="Times New Roman" w:eastAsia="Times New Roman" w:hAnsi="Times New Roman" w:cs="Times New Roman"/>
          <w:sz w:val="24"/>
          <w:szCs w:val="24"/>
          <w:lang w:eastAsia="en-GB"/>
        </w:rPr>
        <w:t>Thus, even as other mechanisms have been identified by many researchers and efforts are being geared currently towards standardising these mechanisms, their use is still very much at the minimal level. This has led to the belief in some quarters that litigation is the only model of dispute resolution in the Islamic finance industry in Malaysia.</w:t>
      </w:r>
    </w:p>
    <w:p w14:paraId="75564058" w14:textId="77777777" w:rsidR="00DD46EC" w:rsidRDefault="00DD46EC" w:rsidP="002222DB">
      <w:pPr>
        <w:spacing w:after="0" w:line="360" w:lineRule="auto"/>
        <w:jc w:val="both"/>
        <w:rPr>
          <w:rFonts w:ascii="Times New Roman" w:eastAsia="Times New Roman" w:hAnsi="Times New Roman" w:cs="Times New Roman"/>
          <w:sz w:val="24"/>
          <w:szCs w:val="24"/>
          <w:lang w:val="en-MY" w:eastAsia="en-GB"/>
        </w:rPr>
      </w:pPr>
    </w:p>
    <w:p w14:paraId="08EF60D1" w14:textId="77777777" w:rsidR="00DA5F50" w:rsidRPr="002222DB" w:rsidRDefault="0040793A" w:rsidP="002222DB">
      <w:pPr>
        <w:spacing w:after="0" w:line="360" w:lineRule="auto"/>
        <w:jc w:val="both"/>
        <w:rPr>
          <w:rFonts w:ascii="Times New Roman" w:eastAsia="Times New Roman" w:hAnsi="Times New Roman" w:cs="Times New Roman"/>
          <w:sz w:val="24"/>
          <w:szCs w:val="24"/>
          <w:lang w:val="en-MY" w:eastAsia="en-GB"/>
        </w:rPr>
      </w:pPr>
      <w:r w:rsidRPr="0040793A">
        <w:rPr>
          <w:rFonts w:ascii="Times New Roman" w:eastAsia="Times New Roman" w:hAnsi="Times New Roman" w:cs="Times New Roman"/>
          <w:sz w:val="24"/>
          <w:szCs w:val="24"/>
          <w:lang w:val="en-MY" w:eastAsia="en-GB"/>
        </w:rPr>
        <w:t>SWOT analysis is a strategic method of evaluating the strengths, weaknesses, opportunities and threats characterising any type of industry.</w:t>
      </w:r>
      <w:r w:rsidRPr="0040793A">
        <w:rPr>
          <w:rFonts w:ascii="Times New Roman" w:eastAsia="Times New Roman" w:hAnsi="Times New Roman" w:cs="Times New Roman"/>
          <w:sz w:val="24"/>
          <w:szCs w:val="24"/>
          <w:vertAlign w:val="superscript"/>
          <w:lang w:val="en-MY" w:eastAsia="en-GB"/>
        </w:rPr>
        <w:footnoteReference w:id="2"/>
      </w:r>
      <w:r w:rsidRPr="0040793A">
        <w:rPr>
          <w:rFonts w:ascii="Times New Roman" w:eastAsia="Times New Roman" w:hAnsi="Times New Roman" w:cs="Times New Roman"/>
          <w:sz w:val="24"/>
          <w:szCs w:val="24"/>
          <w:lang w:val="en-MY" w:eastAsia="en-GB"/>
        </w:rPr>
        <w:t xml:space="preserve"> With regards to dispute resolution mechanisms for the Islamic finance industry in Malaysia, the SWOT analysis involves specifying the objectives of these mechanisms and identifying the internal and external factors that are favourable or unfavourable to achieving their set objectives.</w:t>
      </w:r>
      <w:r w:rsidRPr="0040793A">
        <w:rPr>
          <w:rFonts w:ascii="Times New Roman" w:eastAsia="Times New Roman" w:hAnsi="Times New Roman" w:cs="Times New Roman"/>
          <w:sz w:val="24"/>
          <w:szCs w:val="24"/>
          <w:vertAlign w:val="superscript"/>
          <w:lang w:val="en-MY" w:eastAsia="en-GB"/>
        </w:rPr>
        <w:footnoteReference w:id="3"/>
      </w:r>
      <w:r w:rsidRPr="0040793A">
        <w:rPr>
          <w:rFonts w:ascii="Times New Roman" w:eastAsia="Times New Roman" w:hAnsi="Times New Roman" w:cs="Times New Roman"/>
          <w:sz w:val="24"/>
          <w:szCs w:val="24"/>
          <w:lang w:val="en-MY" w:eastAsia="en-GB"/>
        </w:rPr>
        <w:t xml:space="preserve"> Therefore, the internal strengths and weaknesses of the dispute resolution mechanisms in the Islamic finance industry in Malaysia are </w:t>
      </w:r>
      <w:r w:rsidR="007A5F0A">
        <w:rPr>
          <w:rFonts w:ascii="Times New Roman" w:eastAsia="Times New Roman" w:hAnsi="Times New Roman" w:cs="Times New Roman"/>
          <w:sz w:val="24"/>
          <w:szCs w:val="24"/>
          <w:lang w:val="en-MY" w:eastAsia="en-GB"/>
        </w:rPr>
        <w:t xml:space="preserve">hereby </w:t>
      </w:r>
      <w:r w:rsidRPr="0040793A">
        <w:rPr>
          <w:rFonts w:ascii="Times New Roman" w:eastAsia="Times New Roman" w:hAnsi="Times New Roman" w:cs="Times New Roman"/>
          <w:sz w:val="24"/>
          <w:szCs w:val="24"/>
          <w:lang w:val="en-MY" w:eastAsia="en-GB"/>
        </w:rPr>
        <w:t>analysed. Their opportunities from the external factors that can help maximize the various mechanisms and the potential threats from the external factors that can hamper the use of the mechanisms in resolving Islamic finance disputes in Malaysia are examined.</w:t>
      </w:r>
      <w:bookmarkStart w:id="8" w:name="_Toc384074388"/>
      <w:bookmarkStart w:id="9" w:name="_Toc384219392"/>
      <w:bookmarkStart w:id="10" w:name="_Toc384274299"/>
      <w:bookmarkStart w:id="11" w:name="_Toc393166980"/>
      <w:r w:rsidR="002222DB" w:rsidRPr="002222DB">
        <w:t xml:space="preserve"> </w:t>
      </w:r>
      <w:r w:rsidR="002222DB" w:rsidRPr="002222DB">
        <w:rPr>
          <w:rFonts w:ascii="Times New Roman" w:eastAsia="Times New Roman" w:hAnsi="Times New Roman" w:cs="Times New Roman"/>
          <w:sz w:val="24"/>
          <w:szCs w:val="24"/>
          <w:lang w:eastAsia="en-GB"/>
        </w:rPr>
        <w:t xml:space="preserve">The research is therefore unique in its content value because </w:t>
      </w:r>
      <w:r w:rsidR="002222DB" w:rsidRPr="002222DB">
        <w:rPr>
          <w:rFonts w:ascii="Times New Roman" w:eastAsia="Times New Roman" w:hAnsi="Times New Roman" w:cs="Times New Roman"/>
          <w:sz w:val="24"/>
          <w:szCs w:val="24"/>
          <w:lang w:val="en-MY" w:eastAsia="en-GB"/>
        </w:rPr>
        <w:t>although a lot of research has been conducted on the different dispute resolution mechanisms available in the Islamic finance industry in Malaysia; none has conducted a SWOT analysis on any of the mechanisms. It is believed that the SWOT model will help the Islamic finance industry understand the relative relevance of other ADR processes and make them relevant as mechanisms for resolving Islamic finance disputes.</w:t>
      </w:r>
    </w:p>
    <w:p w14:paraId="6261D451" w14:textId="77777777" w:rsidR="002222DB" w:rsidRDefault="002222DB" w:rsidP="0037074D">
      <w:pPr>
        <w:spacing w:after="200" w:line="360" w:lineRule="auto"/>
        <w:jc w:val="both"/>
        <w:outlineLvl w:val="1"/>
        <w:rPr>
          <w:rFonts w:ascii="Times New Roman" w:eastAsia="Calibri" w:hAnsi="Times New Roman" w:cs="Times New Roman"/>
          <w:b/>
          <w:sz w:val="24"/>
          <w:szCs w:val="24"/>
        </w:rPr>
      </w:pPr>
    </w:p>
    <w:p w14:paraId="5E1B0F93" w14:textId="77777777" w:rsidR="0040793A" w:rsidRPr="0040793A" w:rsidRDefault="0040793A" w:rsidP="0037074D">
      <w:pPr>
        <w:spacing w:after="200" w:line="360" w:lineRule="auto"/>
        <w:jc w:val="both"/>
        <w:outlineLvl w:val="1"/>
        <w:rPr>
          <w:rFonts w:ascii="Times New Roman" w:eastAsia="Calibri" w:hAnsi="Times New Roman" w:cs="Times New Roman"/>
          <w:b/>
          <w:sz w:val="24"/>
          <w:szCs w:val="24"/>
        </w:rPr>
      </w:pPr>
      <w:r w:rsidRPr="0040793A">
        <w:rPr>
          <w:rFonts w:ascii="Times New Roman" w:eastAsia="Calibri" w:hAnsi="Times New Roman" w:cs="Times New Roman"/>
          <w:b/>
          <w:sz w:val="24"/>
          <w:szCs w:val="24"/>
        </w:rPr>
        <w:lastRenderedPageBreak/>
        <w:t xml:space="preserve"> COURT PROCESS</w:t>
      </w:r>
      <w:bookmarkEnd w:id="8"/>
      <w:bookmarkEnd w:id="9"/>
      <w:bookmarkEnd w:id="10"/>
      <w:bookmarkEnd w:id="11"/>
    </w:p>
    <w:p w14:paraId="4F3166AC" w14:textId="77777777" w:rsidR="00B964BB" w:rsidRDefault="0040793A" w:rsidP="00047CDD">
      <w:pPr>
        <w:spacing w:after="0" w:line="360" w:lineRule="auto"/>
        <w:jc w:val="both"/>
        <w:rPr>
          <w:rFonts w:ascii="Times New Roman" w:eastAsia="Calibri" w:hAnsi="Times New Roman" w:cs="Times New Roman"/>
          <w:b/>
          <w:bCs/>
          <w:sz w:val="24"/>
          <w:szCs w:val="24"/>
          <w:lang w:val="en-MY"/>
        </w:rPr>
      </w:pPr>
      <w:r w:rsidRPr="0040793A">
        <w:rPr>
          <w:rFonts w:ascii="Times New Roman" w:eastAsia="Calibri" w:hAnsi="Times New Roman" w:cs="Times New Roman"/>
          <w:sz w:val="24"/>
          <w:szCs w:val="24"/>
          <w:lang w:val="en-MY"/>
        </w:rPr>
        <w:t>The court process is a dispute resolution process that uses litigation mainly as its medium of resolving disputes between parties. In Malaysia, the process has over the decades been the first point of call for litigants of Islamic finance disputes.</w:t>
      </w:r>
      <w:r w:rsidRPr="0040793A">
        <w:rPr>
          <w:rFonts w:ascii="Times New Roman" w:eastAsia="Calibri" w:hAnsi="Times New Roman" w:cs="Times New Roman"/>
          <w:sz w:val="24"/>
          <w:szCs w:val="24"/>
          <w:vertAlign w:val="superscript"/>
          <w:lang w:val="en-MY"/>
        </w:rPr>
        <w:footnoteReference w:id="4"/>
      </w:r>
      <w:r w:rsidRPr="0040793A">
        <w:rPr>
          <w:rFonts w:ascii="Times New Roman" w:eastAsia="Calibri" w:hAnsi="Times New Roman" w:cs="Times New Roman"/>
          <w:sz w:val="24"/>
          <w:szCs w:val="24"/>
          <w:lang w:val="en-MY"/>
        </w:rPr>
        <w:t xml:space="preserve"> It therefore assumes a very important place in the dispute resolution sector of the Islamic finance industry in Malaysia and hence it is paramount that a SWOT analysis be conducted on how it operates. It is imperative to restate here as has been earlier noted in the previous chapter that it is the civil court that has jurisdiction over Islamic finance disputes being an item under the Federal List of the Federal Constitution. It is thus the court process under the civil courts of Malaysia that this chapter shall be looking into.</w:t>
      </w:r>
      <w:bookmarkStart w:id="12" w:name="_Toc384074389"/>
      <w:bookmarkStart w:id="13" w:name="_Toc384219393"/>
      <w:bookmarkStart w:id="14" w:name="_Toc384274300"/>
      <w:bookmarkStart w:id="15" w:name="_Toc393166981"/>
      <w:r w:rsidRPr="0040793A">
        <w:rPr>
          <w:rFonts w:ascii="Times New Roman" w:eastAsia="Calibri" w:hAnsi="Times New Roman" w:cs="Times New Roman"/>
          <w:b/>
          <w:bCs/>
          <w:sz w:val="24"/>
          <w:szCs w:val="24"/>
          <w:lang w:val="en-MY"/>
        </w:rPr>
        <w:t xml:space="preserve"> </w:t>
      </w:r>
    </w:p>
    <w:p w14:paraId="353CC062" w14:textId="77777777" w:rsidR="00050A7B" w:rsidRPr="00050A7B" w:rsidRDefault="00050A7B" w:rsidP="00047CDD">
      <w:pPr>
        <w:spacing w:after="0" w:line="360" w:lineRule="auto"/>
        <w:jc w:val="both"/>
        <w:rPr>
          <w:rFonts w:ascii="Times New Roman" w:eastAsia="Calibri" w:hAnsi="Times New Roman" w:cs="Times New Roman"/>
          <w:sz w:val="24"/>
          <w:szCs w:val="24"/>
          <w:lang w:val="en-MY"/>
        </w:rPr>
      </w:pPr>
    </w:p>
    <w:p w14:paraId="76AD38A7" w14:textId="77777777" w:rsidR="0040793A" w:rsidRPr="00047CDD" w:rsidRDefault="0040793A" w:rsidP="00047CDD">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b/>
          <w:bCs/>
          <w:sz w:val="24"/>
          <w:szCs w:val="24"/>
          <w:lang w:val="en-MY"/>
        </w:rPr>
        <w:t>Strengths</w:t>
      </w:r>
      <w:bookmarkEnd w:id="12"/>
      <w:bookmarkEnd w:id="13"/>
      <w:bookmarkEnd w:id="14"/>
      <w:bookmarkEnd w:id="15"/>
    </w:p>
    <w:p w14:paraId="6E6362B0" w14:textId="77777777" w:rsidR="0040793A" w:rsidRPr="0040793A" w:rsidRDefault="0040793A" w:rsidP="0037074D">
      <w:pPr>
        <w:spacing w:after="0" w:line="360" w:lineRule="auto"/>
        <w:jc w:val="both"/>
        <w:rPr>
          <w:rFonts w:ascii="Times New Roman" w:eastAsia="Batang" w:hAnsi="Times New Roman" w:cs="Times New Roman"/>
          <w:sz w:val="24"/>
          <w:szCs w:val="24"/>
          <w:lang w:eastAsia="ko-KR"/>
        </w:rPr>
      </w:pPr>
      <w:r w:rsidRPr="0040793A">
        <w:rPr>
          <w:rFonts w:ascii="Times New Roman" w:eastAsia="Batang" w:hAnsi="Times New Roman" w:cs="Times New Roman"/>
          <w:sz w:val="24"/>
          <w:szCs w:val="24"/>
          <w:lang w:eastAsia="ko-KR"/>
        </w:rPr>
        <w:t>Islamic finance dispute being a versatile subject is usually imbued with quite a number of issues, some of which can only be settled by a court of law. It has long been recognised, even after other alternatives to litigation have enjoyed a firm ground in the administration of justice parlance that some cases are only suitable to be resolved by a court process. For example, there are situations or circumstances that will warrant having a binding and enforceable decision on a matter from the highest authority being given power to by the state. Some of the legal issues involved in an Islamic finance dispute may also need to benefit from such strength. For example, where an important principle is involved such as the credibility of a newly introduced Islamic finance product or where there is a need for legal precedent on an issue or perhaps there is a need to send a message to the stakeholders in the industry. In all these situations the "discipline of litigation" may be necessary to be called for.</w:t>
      </w:r>
      <w:r w:rsidRPr="0040793A">
        <w:rPr>
          <w:rFonts w:ascii="Times New Roman" w:eastAsia="Batang" w:hAnsi="Times New Roman" w:cs="Times New Roman"/>
          <w:sz w:val="24"/>
          <w:szCs w:val="24"/>
          <w:vertAlign w:val="superscript"/>
          <w:lang w:eastAsia="ko-KR"/>
        </w:rPr>
        <w:footnoteReference w:id="5"/>
      </w:r>
      <w:r w:rsidRPr="0040793A">
        <w:rPr>
          <w:rFonts w:ascii="Times New Roman" w:eastAsia="Batang" w:hAnsi="Times New Roman" w:cs="Times New Roman"/>
          <w:sz w:val="24"/>
          <w:szCs w:val="24"/>
          <w:lang w:eastAsia="ko-KR"/>
        </w:rPr>
        <w:t xml:space="preserve"> Hence, in order for such issues to be competently decided upon, the court process needs to be explored by the parties. Here lies one of the most important strengths of the court process for resolving Islamic finance disputes in Malaysia.</w:t>
      </w:r>
    </w:p>
    <w:p w14:paraId="75CDFC3C" w14:textId="77777777" w:rsidR="00050A7B" w:rsidRDefault="00050A7B" w:rsidP="004728F2">
      <w:pPr>
        <w:spacing w:after="0" w:line="360" w:lineRule="auto"/>
        <w:jc w:val="both"/>
        <w:rPr>
          <w:rFonts w:ascii="Times New Roman" w:eastAsia="Batang" w:hAnsi="Times New Roman" w:cs="Times New Roman"/>
          <w:sz w:val="24"/>
          <w:szCs w:val="24"/>
          <w:lang w:eastAsia="ko-KR"/>
        </w:rPr>
      </w:pPr>
    </w:p>
    <w:p w14:paraId="7A528533" w14:textId="77777777" w:rsidR="0040793A" w:rsidRPr="0040793A" w:rsidRDefault="0040793A" w:rsidP="004728F2">
      <w:pPr>
        <w:spacing w:after="0" w:line="360" w:lineRule="auto"/>
        <w:jc w:val="both"/>
        <w:rPr>
          <w:rFonts w:ascii="Times New Roman" w:eastAsia="Batang" w:hAnsi="Times New Roman" w:cs="Times New Roman"/>
          <w:sz w:val="24"/>
          <w:szCs w:val="24"/>
          <w:lang w:eastAsia="ko-KR"/>
        </w:rPr>
      </w:pPr>
      <w:r w:rsidRPr="0040793A">
        <w:rPr>
          <w:rFonts w:ascii="Times New Roman" w:eastAsia="Batang" w:hAnsi="Times New Roman" w:cs="Times New Roman"/>
          <w:sz w:val="24"/>
          <w:szCs w:val="24"/>
          <w:lang w:eastAsia="ko-KR"/>
        </w:rPr>
        <w:t xml:space="preserve">Another equally important strength of the court process is the fact that it is result oriented. No matter how long it takes to decide a case in a court of law, the parties are assured of getting </w:t>
      </w:r>
      <w:r w:rsidRPr="0040793A">
        <w:rPr>
          <w:rFonts w:ascii="Times New Roman" w:eastAsia="Batang" w:hAnsi="Times New Roman" w:cs="Times New Roman"/>
          <w:sz w:val="24"/>
          <w:szCs w:val="24"/>
          <w:lang w:eastAsia="ko-KR"/>
        </w:rPr>
        <w:lastRenderedPageBreak/>
        <w:t>results. It is unlike some of the alternatives to litigation that may end up in deadlock between the parties. The court process guarantees that at the end of the whole process, there will be result either ‘win’ or ‘lose’. Even where the case is appealed against by one of the parties, there is still the upper and final court which is the Federal Court in Malaysia who has got the final say. So the case cannot go on forever, there is a limit to where parties can appeal to, hence result will still be got after several appeals.</w:t>
      </w:r>
    </w:p>
    <w:p w14:paraId="4ACCFC06" w14:textId="77777777" w:rsidR="00050A7B" w:rsidRDefault="00050A7B" w:rsidP="004728F2">
      <w:pPr>
        <w:spacing w:after="0" w:line="360" w:lineRule="auto"/>
        <w:jc w:val="both"/>
        <w:rPr>
          <w:rFonts w:ascii="Times New Roman" w:eastAsia="Batang" w:hAnsi="Times New Roman" w:cs="Times New Roman"/>
          <w:sz w:val="24"/>
          <w:szCs w:val="24"/>
          <w:lang w:eastAsia="ko-KR"/>
        </w:rPr>
      </w:pPr>
    </w:p>
    <w:p w14:paraId="34ED4DD1" w14:textId="77777777" w:rsidR="0040793A" w:rsidRPr="0040793A" w:rsidRDefault="0040793A" w:rsidP="004728F2">
      <w:pPr>
        <w:spacing w:after="0" w:line="360" w:lineRule="auto"/>
        <w:jc w:val="both"/>
        <w:rPr>
          <w:rFonts w:ascii="Times New Roman" w:eastAsia="Batang" w:hAnsi="Times New Roman" w:cs="Times New Roman"/>
          <w:sz w:val="24"/>
          <w:szCs w:val="24"/>
          <w:lang w:eastAsia="ko-KR"/>
        </w:rPr>
      </w:pPr>
      <w:r w:rsidRPr="0040793A">
        <w:rPr>
          <w:rFonts w:ascii="Times New Roman" w:eastAsia="Batang" w:hAnsi="Times New Roman" w:cs="Times New Roman"/>
          <w:sz w:val="24"/>
          <w:szCs w:val="24"/>
          <w:lang w:eastAsia="ko-KR"/>
        </w:rPr>
        <w:t xml:space="preserve">As a corollary to the above mentioned strengths is the fact that the court process produces a binding and enforceable settlement. The decisions and judgements given by a judge in a court process are binding on the parties and enforceable against anyone related to the matter. It is binding and enforceable to the extent that it amounts to contempt of the court for a judgment to be flouted against by anyone, let alone the parties. This is the strength of the court process that gives it an edge over all the other alternatives that have been developed over the years. It is imperative to note that even the awards given by those alternatives get enforcement from the court process. This is so because before any reasonable resolution is to be made for disputes in the nature of Islamic finance, it needs to be enforceable for it to have an impact. Thus, this is an important strength of the court process used in resolving Islamic finance disputes.   </w:t>
      </w:r>
    </w:p>
    <w:p w14:paraId="0ECF2A63" w14:textId="77777777" w:rsidR="00050A7B" w:rsidRDefault="00050A7B" w:rsidP="004728F2">
      <w:pPr>
        <w:spacing w:after="0" w:line="360" w:lineRule="auto"/>
        <w:jc w:val="both"/>
        <w:rPr>
          <w:rFonts w:ascii="Times New Roman" w:eastAsia="Batang" w:hAnsi="Times New Roman" w:cs="Times New Roman"/>
          <w:sz w:val="24"/>
          <w:szCs w:val="24"/>
          <w:lang w:eastAsia="ko-KR"/>
        </w:rPr>
      </w:pPr>
    </w:p>
    <w:p w14:paraId="3C99DB2D" w14:textId="77777777" w:rsidR="0040793A" w:rsidRPr="0040793A" w:rsidRDefault="0040793A" w:rsidP="004728F2">
      <w:pPr>
        <w:spacing w:after="0" w:line="360" w:lineRule="auto"/>
        <w:jc w:val="both"/>
        <w:rPr>
          <w:rFonts w:ascii="Times New Roman" w:eastAsia="Batang" w:hAnsi="Times New Roman" w:cs="Times New Roman"/>
          <w:sz w:val="24"/>
          <w:szCs w:val="24"/>
          <w:lang w:eastAsia="ko-KR"/>
        </w:rPr>
      </w:pPr>
      <w:r w:rsidRPr="0040793A">
        <w:rPr>
          <w:rFonts w:ascii="Times New Roman" w:eastAsia="Batang" w:hAnsi="Times New Roman" w:cs="Times New Roman"/>
          <w:sz w:val="24"/>
          <w:szCs w:val="24"/>
          <w:lang w:eastAsia="ko-KR"/>
        </w:rPr>
        <w:t xml:space="preserve">Part of the strengths of the court process used in resolving Islamic finance dispute is the fact that the impartiality of the judge can be to a large extent guaranteed as his pay check is not dependent upon whether the parties ever use the particular judge in another matter or not. This is unlike the situation of other private or alternative dispute resolution mechanisms where parties have to pay the third neutral party. The judge is not personally affected by the outcome of the case. Hence he is absolutely free from fear of being bias by the influence of the parties and can therefore go on to give his judgement based on the merits and the facts of the case presented before him. He is not answerable to the parties but to the state.  </w:t>
      </w:r>
    </w:p>
    <w:p w14:paraId="757A2490" w14:textId="77777777" w:rsidR="0040793A" w:rsidRPr="0040793A" w:rsidRDefault="0040793A" w:rsidP="0037074D">
      <w:pPr>
        <w:spacing w:after="0" w:line="360" w:lineRule="auto"/>
        <w:rPr>
          <w:rFonts w:ascii="Times New Roman" w:eastAsia="Times New Roman" w:hAnsi="Times New Roman" w:cs="Times New Roman"/>
          <w:sz w:val="24"/>
          <w:szCs w:val="24"/>
        </w:rPr>
      </w:pPr>
    </w:p>
    <w:p w14:paraId="69D992A2" w14:textId="77777777" w:rsidR="0040793A" w:rsidRPr="0040793A" w:rsidRDefault="0040793A" w:rsidP="0037074D">
      <w:pPr>
        <w:spacing w:after="200" w:line="360" w:lineRule="auto"/>
        <w:jc w:val="both"/>
        <w:outlineLvl w:val="2"/>
        <w:rPr>
          <w:rFonts w:ascii="Times New Roman" w:eastAsia="Calibri" w:hAnsi="Times New Roman" w:cs="Times New Roman"/>
          <w:b/>
          <w:bCs/>
          <w:sz w:val="24"/>
          <w:szCs w:val="24"/>
          <w:lang w:val="en-MY"/>
        </w:rPr>
      </w:pPr>
      <w:bookmarkStart w:id="16" w:name="_Toc384074390"/>
      <w:bookmarkStart w:id="17" w:name="_Toc384219394"/>
      <w:bookmarkStart w:id="18" w:name="_Toc384274301"/>
      <w:bookmarkStart w:id="19" w:name="_Toc393166982"/>
      <w:r w:rsidRPr="0040793A">
        <w:rPr>
          <w:rFonts w:ascii="Times New Roman" w:eastAsia="Calibri" w:hAnsi="Times New Roman" w:cs="Times New Roman"/>
          <w:b/>
          <w:bCs/>
          <w:sz w:val="24"/>
          <w:szCs w:val="24"/>
          <w:lang w:val="en-MY"/>
        </w:rPr>
        <w:t>Weaknesses</w:t>
      </w:r>
      <w:bookmarkEnd w:id="16"/>
      <w:bookmarkEnd w:id="17"/>
      <w:bookmarkEnd w:id="18"/>
      <w:bookmarkEnd w:id="19"/>
    </w:p>
    <w:p w14:paraId="5ADB4776" w14:textId="77777777" w:rsidR="0040793A" w:rsidRPr="00050A7B" w:rsidRDefault="0040793A" w:rsidP="0037074D">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rPr>
        <w:t xml:space="preserve">The most common and well-known weakness of the court process used in resolving Islamic finance disputes is the lack of experts who understand the intricacies of </w:t>
      </w:r>
      <w:r w:rsidRPr="0040793A">
        <w:rPr>
          <w:rFonts w:ascii="Times New Roman" w:eastAsia="Calibri" w:hAnsi="Times New Roman" w:cs="Times New Roman"/>
          <w:i/>
          <w:sz w:val="24"/>
          <w:szCs w:val="24"/>
          <w:lang w:val="en-MY"/>
        </w:rPr>
        <w:t>Sharī‘ah</w:t>
      </w:r>
      <w:r w:rsidRPr="0040793A">
        <w:rPr>
          <w:rFonts w:ascii="Times New Roman" w:eastAsia="Calibri" w:hAnsi="Times New Roman" w:cs="Times New Roman"/>
          <w:sz w:val="24"/>
          <w:szCs w:val="24"/>
        </w:rPr>
        <w:t xml:space="preserve"> issues and principles. This is believed to be the biggest dilemma facing Islamic finance efforts</w:t>
      </w:r>
      <w:r w:rsidRPr="0040793A">
        <w:rPr>
          <w:rFonts w:ascii="Times New Roman" w:eastAsia="Calibri" w:hAnsi="Times New Roman" w:cs="Times New Roman"/>
          <w:sz w:val="24"/>
          <w:szCs w:val="24"/>
          <w:vertAlign w:val="superscript"/>
        </w:rPr>
        <w:footnoteReference w:id="6"/>
      </w:r>
      <w:r w:rsidRPr="0040793A">
        <w:rPr>
          <w:rFonts w:ascii="Times New Roman" w:eastAsia="Calibri" w:hAnsi="Times New Roman" w:cs="Times New Roman"/>
          <w:sz w:val="24"/>
          <w:szCs w:val="24"/>
        </w:rPr>
        <w:t xml:space="preserve">as there </w:t>
      </w:r>
      <w:r w:rsidRPr="0040793A">
        <w:rPr>
          <w:rFonts w:ascii="Times New Roman" w:eastAsia="Calibri" w:hAnsi="Times New Roman" w:cs="Times New Roman"/>
          <w:sz w:val="24"/>
          <w:szCs w:val="24"/>
        </w:rPr>
        <w:lastRenderedPageBreak/>
        <w:t xml:space="preserve">are no sufficient experts in Islamic law among the judges of the High Court. </w:t>
      </w:r>
      <w:r w:rsidRPr="0040793A">
        <w:rPr>
          <w:rFonts w:ascii="Times New Roman" w:eastAsia="Calibri" w:hAnsi="Times New Roman" w:cs="Times New Roman"/>
          <w:sz w:val="24"/>
          <w:szCs w:val="24"/>
          <w:lang w:val="en-MY"/>
        </w:rPr>
        <w:t xml:space="preserve">In the very words of the former chief justice of Malaysia: “The civil courts do not have the expertise to decide </w:t>
      </w:r>
      <w:r w:rsidRPr="0040793A">
        <w:rPr>
          <w:rFonts w:ascii="Times New Roman" w:eastAsia="Calibri" w:hAnsi="Times New Roman" w:cs="Times New Roman"/>
          <w:i/>
          <w:sz w:val="24"/>
          <w:szCs w:val="24"/>
          <w:lang w:val="en-MY"/>
        </w:rPr>
        <w:t xml:space="preserve">Sharī‘ah </w:t>
      </w:r>
      <w:r w:rsidRPr="0040793A">
        <w:rPr>
          <w:rFonts w:ascii="Times New Roman" w:eastAsia="Calibri" w:hAnsi="Times New Roman" w:cs="Times New Roman"/>
          <w:sz w:val="24"/>
          <w:szCs w:val="24"/>
          <w:lang w:val="en-MY"/>
        </w:rPr>
        <w:t xml:space="preserve">issues…They lack the knowledge of the </w:t>
      </w:r>
      <w:r w:rsidRPr="0040793A">
        <w:rPr>
          <w:rFonts w:ascii="Times New Roman" w:eastAsia="Calibri" w:hAnsi="Times New Roman" w:cs="Times New Roman"/>
          <w:i/>
          <w:sz w:val="24"/>
          <w:szCs w:val="24"/>
          <w:lang w:val="en-MY"/>
        </w:rPr>
        <w:t xml:space="preserve">Sharī‘ah </w:t>
      </w:r>
      <w:r w:rsidRPr="0040793A">
        <w:rPr>
          <w:rFonts w:ascii="Times New Roman" w:eastAsia="Calibri" w:hAnsi="Times New Roman" w:cs="Times New Roman"/>
          <w:sz w:val="24"/>
          <w:szCs w:val="24"/>
          <w:lang w:val="en-MY"/>
        </w:rPr>
        <w:t>and Islamic Jurisprudence”.</w:t>
      </w:r>
      <w:r w:rsidRPr="0040793A">
        <w:rPr>
          <w:rFonts w:ascii="Times New Roman" w:eastAsia="Calibri" w:hAnsi="Times New Roman" w:cs="Times New Roman"/>
          <w:sz w:val="24"/>
          <w:szCs w:val="24"/>
          <w:vertAlign w:val="superscript"/>
          <w:lang w:val="en-MY"/>
        </w:rPr>
        <w:footnoteReference w:id="7"/>
      </w:r>
      <w:r w:rsidRPr="0040793A">
        <w:rPr>
          <w:rFonts w:ascii="Times New Roman" w:eastAsia="Calibri" w:hAnsi="Times New Roman" w:cs="Times New Roman"/>
          <w:sz w:val="24"/>
          <w:szCs w:val="24"/>
        </w:rPr>
        <w:t xml:space="preserve">The nascent backlog of cases which brings with it considerable delay in resolving disputes is another major weakness of the court process which also affects the resolution of Islamic finance disputes timely. This cannot be tolerated going by the nature of Islamic finance relationship that exists between the bank and its customer. Some cases can go on pending in the court for years either because of the existence of too many workload on the part of the courts or the desire by a losing party to keep dragging the issue till eternity simply because he/she does not want to pay what he/she is owing the other party.  </w:t>
      </w:r>
    </w:p>
    <w:p w14:paraId="29516850" w14:textId="77777777" w:rsidR="00050A7B" w:rsidRDefault="00050A7B" w:rsidP="0046060C">
      <w:pPr>
        <w:spacing w:after="0" w:line="360" w:lineRule="auto"/>
        <w:jc w:val="both"/>
        <w:rPr>
          <w:rFonts w:ascii="Times New Roman" w:eastAsia="Calibri" w:hAnsi="Times New Roman" w:cs="Times New Roman"/>
          <w:sz w:val="24"/>
          <w:szCs w:val="24"/>
        </w:rPr>
      </w:pPr>
    </w:p>
    <w:p w14:paraId="331B94DD" w14:textId="77777777" w:rsidR="0040793A" w:rsidRPr="0040793A" w:rsidRDefault="0040793A" w:rsidP="0046060C">
      <w:pPr>
        <w:spacing w:after="0" w:line="360" w:lineRule="auto"/>
        <w:jc w:val="both"/>
        <w:rPr>
          <w:rFonts w:ascii="Times New Roman" w:eastAsia="Calibri" w:hAnsi="Times New Roman" w:cs="Times New Roman"/>
          <w:sz w:val="24"/>
          <w:szCs w:val="24"/>
        </w:rPr>
      </w:pPr>
      <w:r w:rsidRPr="0040793A">
        <w:rPr>
          <w:rFonts w:ascii="Times New Roman" w:eastAsia="Calibri" w:hAnsi="Times New Roman" w:cs="Times New Roman"/>
          <w:sz w:val="24"/>
          <w:szCs w:val="24"/>
        </w:rPr>
        <w:t>Another majorly identified weakness of the court process is the cost involved in litigating the case in court. If a case drags in court for years then there will surely be cost of lawyers involved for these years and other incidental costs that need to be borne by the parties. This weakness of the court process is put succinctly in the words of a seasoned scholar in the field thus: “All too often, cases drag on for more than a decade and can accrue RM millions in legal costs alone”.</w:t>
      </w:r>
      <w:r w:rsidRPr="0040793A">
        <w:rPr>
          <w:rFonts w:ascii="Times New Roman" w:eastAsia="Calibri" w:hAnsi="Times New Roman" w:cs="Times New Roman"/>
          <w:sz w:val="24"/>
          <w:szCs w:val="24"/>
          <w:vertAlign w:val="superscript"/>
        </w:rPr>
        <w:footnoteReference w:id="8"/>
      </w:r>
      <w:r w:rsidRPr="0040793A">
        <w:rPr>
          <w:rFonts w:ascii="Times New Roman" w:eastAsia="Calibri" w:hAnsi="Times New Roman" w:cs="Times New Roman"/>
          <w:sz w:val="24"/>
          <w:szCs w:val="24"/>
        </w:rPr>
        <w:t xml:space="preserve"> An important study conducted by Ury of the Harvard Negotiation Project confirmed that “the later in the process that a settlement is reached, the higher the cost to both parties. As the parties dig in their heels and further entrench their respective positions, they consume increasingly more time and expenses in trial preparation, with the cost of settlement invariably rising”.</w:t>
      </w:r>
      <w:r w:rsidRPr="0040793A">
        <w:rPr>
          <w:rFonts w:ascii="Times New Roman" w:eastAsia="Calibri" w:hAnsi="Times New Roman" w:cs="Times New Roman"/>
          <w:sz w:val="24"/>
          <w:szCs w:val="24"/>
          <w:vertAlign w:val="superscript"/>
        </w:rPr>
        <w:footnoteReference w:id="9"/>
      </w:r>
      <w:r w:rsidRPr="0040793A">
        <w:rPr>
          <w:rFonts w:ascii="Times New Roman" w:eastAsia="Calibri" w:hAnsi="Times New Roman" w:cs="Times New Roman"/>
          <w:sz w:val="24"/>
          <w:szCs w:val="24"/>
        </w:rPr>
        <w:t xml:space="preserve"> The cost of court process involves expenses of discovery and motion practice which is the greatest expense in litigation. </w:t>
      </w:r>
    </w:p>
    <w:p w14:paraId="442AA6EB" w14:textId="77777777" w:rsidR="00050A7B" w:rsidRDefault="00050A7B" w:rsidP="0046060C">
      <w:pPr>
        <w:spacing w:after="0" w:line="360" w:lineRule="auto"/>
        <w:jc w:val="both"/>
        <w:rPr>
          <w:rFonts w:ascii="Times New Roman" w:eastAsia="Calibri" w:hAnsi="Times New Roman" w:cs="Times New Roman"/>
          <w:sz w:val="24"/>
          <w:szCs w:val="24"/>
        </w:rPr>
      </w:pPr>
    </w:p>
    <w:p w14:paraId="33526DE6" w14:textId="77777777" w:rsidR="0040793A" w:rsidRPr="0040793A" w:rsidRDefault="0040793A" w:rsidP="0046060C">
      <w:pPr>
        <w:spacing w:after="0" w:line="360" w:lineRule="auto"/>
        <w:jc w:val="both"/>
        <w:rPr>
          <w:rFonts w:ascii="Times New Roman" w:eastAsia="Calibri" w:hAnsi="Times New Roman" w:cs="Times New Roman"/>
          <w:sz w:val="24"/>
          <w:szCs w:val="24"/>
        </w:rPr>
      </w:pPr>
      <w:r w:rsidRPr="0040793A">
        <w:rPr>
          <w:rFonts w:ascii="Times New Roman" w:eastAsia="Calibri" w:hAnsi="Times New Roman" w:cs="Times New Roman"/>
          <w:sz w:val="24"/>
          <w:szCs w:val="24"/>
        </w:rPr>
        <w:t xml:space="preserve">Another inherent weakness of the court process is the fact that too much of power are given to judges with little or no power at all given to the parties. Everything is dictated by the whims and caprices of the judges. The judges and the lawyers make the process over lawyered for the disputants that they understand little or nothing of what transpires in court and hence depowers them totally from having any say in their matter. Adversarial nature of the court process that leads to uncertainties and risk, no matter how well a litigant constructs his case his chances are </w:t>
      </w:r>
      <w:r w:rsidRPr="0040793A">
        <w:rPr>
          <w:rFonts w:ascii="Times New Roman" w:eastAsia="Calibri" w:hAnsi="Times New Roman" w:cs="Times New Roman"/>
          <w:sz w:val="24"/>
          <w:szCs w:val="24"/>
        </w:rPr>
        <w:lastRenderedPageBreak/>
        <w:t>fifty-fifty, win-lose chance, is another weakness of this process. Parties face the risk of losing control over the final result of their case under the court process.</w:t>
      </w:r>
    </w:p>
    <w:p w14:paraId="7C4ED2F0" w14:textId="77777777" w:rsidR="00050A7B" w:rsidRDefault="00050A7B" w:rsidP="0046060C">
      <w:pPr>
        <w:spacing w:after="0" w:line="360" w:lineRule="auto"/>
        <w:jc w:val="both"/>
        <w:rPr>
          <w:rFonts w:ascii="Times New Roman" w:eastAsia="Calibri" w:hAnsi="Times New Roman" w:cs="Times New Roman"/>
          <w:sz w:val="24"/>
          <w:szCs w:val="24"/>
        </w:rPr>
      </w:pPr>
    </w:p>
    <w:p w14:paraId="76FF3ED7" w14:textId="77777777" w:rsidR="0040793A" w:rsidRPr="0040793A" w:rsidRDefault="0040793A" w:rsidP="0046060C">
      <w:pPr>
        <w:spacing w:after="0" w:line="360" w:lineRule="auto"/>
        <w:jc w:val="both"/>
        <w:rPr>
          <w:rFonts w:ascii="Times New Roman" w:eastAsia="Calibri" w:hAnsi="Times New Roman" w:cs="Times New Roman"/>
          <w:sz w:val="24"/>
          <w:szCs w:val="24"/>
        </w:rPr>
      </w:pPr>
      <w:r w:rsidRPr="0040793A">
        <w:rPr>
          <w:rFonts w:ascii="Times New Roman" w:eastAsia="Calibri" w:hAnsi="Times New Roman" w:cs="Times New Roman"/>
          <w:sz w:val="24"/>
          <w:szCs w:val="24"/>
        </w:rPr>
        <w:t>Cumbersome procedure used by the court process which cannot be easily understood by the parties except if they are represented by a lawyer is also another weakness of the court process. This slows down the whole process and invariably means more cost. Closely related to this is another weakness of extensive discovery, exchange of documents, a large list of witnesses and dispositions. This amounts to overkill and abuse of the discovery process or what is termed as “the scorched earth approach to litigation”.</w:t>
      </w:r>
      <w:r w:rsidRPr="0040793A">
        <w:rPr>
          <w:rFonts w:ascii="Times New Roman" w:eastAsia="Calibri" w:hAnsi="Times New Roman" w:cs="Times New Roman"/>
          <w:sz w:val="24"/>
          <w:szCs w:val="24"/>
          <w:vertAlign w:val="superscript"/>
        </w:rPr>
        <w:footnoteReference w:id="10"/>
      </w:r>
    </w:p>
    <w:p w14:paraId="391AAF79" w14:textId="77777777" w:rsidR="0040793A" w:rsidRPr="0040793A" w:rsidRDefault="0040793A" w:rsidP="0037074D">
      <w:pPr>
        <w:spacing w:after="0" w:line="360" w:lineRule="auto"/>
        <w:jc w:val="both"/>
        <w:rPr>
          <w:rFonts w:ascii="Times New Roman" w:eastAsia="Calibri" w:hAnsi="Times New Roman" w:cs="Times New Roman"/>
          <w:sz w:val="24"/>
          <w:szCs w:val="24"/>
        </w:rPr>
      </w:pPr>
    </w:p>
    <w:p w14:paraId="4FCA880D" w14:textId="77777777" w:rsidR="0040793A" w:rsidRPr="0040793A" w:rsidRDefault="0040793A" w:rsidP="0037074D">
      <w:pPr>
        <w:spacing w:after="200" w:line="360" w:lineRule="auto"/>
        <w:jc w:val="both"/>
        <w:outlineLvl w:val="2"/>
        <w:rPr>
          <w:rFonts w:ascii="Times New Roman" w:eastAsia="Calibri" w:hAnsi="Times New Roman" w:cs="Times New Roman"/>
          <w:b/>
          <w:bCs/>
          <w:sz w:val="24"/>
          <w:szCs w:val="24"/>
          <w:lang w:val="en-MY"/>
        </w:rPr>
      </w:pPr>
      <w:bookmarkStart w:id="20" w:name="_Toc384074391"/>
      <w:bookmarkStart w:id="21" w:name="_Toc384219395"/>
      <w:bookmarkStart w:id="22" w:name="_Toc384274302"/>
      <w:bookmarkStart w:id="23" w:name="_Toc393166983"/>
      <w:r w:rsidRPr="0040793A">
        <w:rPr>
          <w:rFonts w:ascii="Times New Roman" w:eastAsia="Calibri" w:hAnsi="Times New Roman" w:cs="Times New Roman"/>
          <w:b/>
          <w:bCs/>
          <w:sz w:val="24"/>
          <w:szCs w:val="24"/>
          <w:lang w:val="en-MY"/>
        </w:rPr>
        <w:t>Opportunities</w:t>
      </w:r>
      <w:bookmarkEnd w:id="20"/>
      <w:bookmarkEnd w:id="21"/>
      <w:bookmarkEnd w:id="22"/>
      <w:bookmarkEnd w:id="23"/>
    </w:p>
    <w:p w14:paraId="27D2456C" w14:textId="77777777" w:rsidR="0040793A" w:rsidRPr="0040793A" w:rsidRDefault="0040793A" w:rsidP="0037074D">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The court process used in resolving Islamic finance disputes has the potential of ensuring that Islamic finance documents and contracts are well implemented and enforced. In giving effects to the terms of contract entered into by parties, the court process could be of great help. It is perhaps important to note here that the opportunity created and provided by the court process is very important to the extent that even awards made under any of the ADR process needs to be enforced by the courts to give it legal effect.</w:t>
      </w:r>
    </w:p>
    <w:p w14:paraId="48BE0CE3" w14:textId="77777777" w:rsidR="0040793A" w:rsidRPr="0040793A" w:rsidRDefault="0040793A" w:rsidP="0037074D">
      <w:pPr>
        <w:spacing w:after="0" w:line="360" w:lineRule="auto"/>
        <w:jc w:val="both"/>
        <w:rPr>
          <w:rFonts w:ascii="Times New Roman" w:eastAsia="Calibri" w:hAnsi="Times New Roman" w:cs="Times New Roman"/>
          <w:sz w:val="24"/>
          <w:szCs w:val="24"/>
          <w:lang w:val="en-MY"/>
        </w:rPr>
      </w:pPr>
    </w:p>
    <w:p w14:paraId="3E013356" w14:textId="77777777" w:rsidR="0040793A" w:rsidRPr="0040793A" w:rsidRDefault="0040793A" w:rsidP="0037074D">
      <w:pPr>
        <w:spacing w:after="200" w:line="360" w:lineRule="auto"/>
        <w:jc w:val="both"/>
        <w:outlineLvl w:val="2"/>
        <w:rPr>
          <w:rFonts w:ascii="Times New Roman" w:eastAsia="Calibri" w:hAnsi="Times New Roman" w:cs="Times New Roman"/>
          <w:b/>
          <w:bCs/>
          <w:sz w:val="24"/>
          <w:szCs w:val="24"/>
          <w:lang w:val="en-MY"/>
        </w:rPr>
      </w:pPr>
      <w:bookmarkStart w:id="24" w:name="_Toc384074392"/>
      <w:bookmarkStart w:id="25" w:name="_Toc384219396"/>
      <w:bookmarkStart w:id="26" w:name="_Toc384274303"/>
      <w:bookmarkStart w:id="27" w:name="_Toc393166984"/>
      <w:r w:rsidRPr="0040793A">
        <w:rPr>
          <w:rFonts w:ascii="Times New Roman" w:eastAsia="Calibri" w:hAnsi="Times New Roman" w:cs="Times New Roman"/>
          <w:b/>
          <w:bCs/>
          <w:sz w:val="24"/>
          <w:szCs w:val="24"/>
          <w:lang w:val="en-MY"/>
        </w:rPr>
        <w:t>Threats</w:t>
      </w:r>
      <w:bookmarkEnd w:id="24"/>
      <w:bookmarkEnd w:id="25"/>
      <w:bookmarkEnd w:id="26"/>
      <w:bookmarkEnd w:id="27"/>
    </w:p>
    <w:p w14:paraId="4F1B4009" w14:textId="77777777" w:rsidR="0040793A" w:rsidRPr="0040793A" w:rsidRDefault="0040793A" w:rsidP="0037074D">
      <w:pPr>
        <w:spacing w:after="200" w:line="360" w:lineRule="auto"/>
        <w:jc w:val="both"/>
        <w:rPr>
          <w:rFonts w:ascii="Times New Roman" w:eastAsia="Calibri" w:hAnsi="Times New Roman" w:cs="Times New Roman"/>
          <w:sz w:val="24"/>
          <w:szCs w:val="24"/>
        </w:rPr>
      </w:pPr>
      <w:r w:rsidRPr="0040793A">
        <w:rPr>
          <w:rFonts w:ascii="Times New Roman" w:eastAsia="Calibri" w:hAnsi="Times New Roman" w:cs="Times New Roman"/>
          <w:sz w:val="24"/>
          <w:szCs w:val="24"/>
          <w:lang w:val="en-MY"/>
        </w:rPr>
        <w:t>One major threats of the court process used for resolving Islamic finance disputes in Malaysia is the fact that civil trained judges decide Islamic finance cases in the civil courts. As has already been discussed in the previous chapter that civil courts in Malaysia have exclusive jurisdiction to decide Islamic finance cases pursuant to the Federal Constitution of Malaysia: Item 7 of the Federal List; Item 1 of the State List, 9</w:t>
      </w:r>
      <w:r w:rsidRPr="0040793A">
        <w:rPr>
          <w:rFonts w:ascii="Times New Roman" w:eastAsia="Calibri" w:hAnsi="Times New Roman" w:cs="Times New Roman"/>
          <w:sz w:val="24"/>
          <w:szCs w:val="24"/>
          <w:vertAlign w:val="superscript"/>
          <w:lang w:val="en-MY"/>
        </w:rPr>
        <w:t>th</w:t>
      </w:r>
      <w:r w:rsidRPr="0040793A">
        <w:rPr>
          <w:rFonts w:ascii="Times New Roman" w:eastAsia="Calibri" w:hAnsi="Times New Roman" w:cs="Times New Roman"/>
          <w:sz w:val="24"/>
          <w:szCs w:val="24"/>
          <w:lang w:val="en-MY"/>
        </w:rPr>
        <w:t xml:space="preserve"> Schedule; and Article 121 thereof, these judges tend to apply the common law principle to Islamic finance cases. </w:t>
      </w:r>
      <w:r w:rsidRPr="0040793A">
        <w:rPr>
          <w:rFonts w:ascii="Times New Roman" w:eastAsia="Calibri" w:hAnsi="Times New Roman" w:cs="Times New Roman"/>
          <w:sz w:val="24"/>
          <w:szCs w:val="24"/>
        </w:rPr>
        <w:t>The civil courts judges, based on their professional calling, seem to be more comfortable in adopting the English common law principles as has been shown in a number of cases decided in Malaysia over the decades. This is described in the words of an author as: “the civil court applies an incoherent hodgepodge of ‘equitable interpretation’ when defining various Islamic principles."</w:t>
      </w:r>
      <w:r w:rsidRPr="0040793A">
        <w:rPr>
          <w:rFonts w:ascii="Times New Roman" w:eastAsia="Calibri" w:hAnsi="Times New Roman" w:cs="Times New Roman"/>
          <w:sz w:val="24"/>
          <w:szCs w:val="24"/>
          <w:vertAlign w:val="superscript"/>
        </w:rPr>
        <w:footnoteReference w:id="11"/>
      </w:r>
      <w:r w:rsidRPr="0040793A">
        <w:rPr>
          <w:rFonts w:ascii="Times New Roman" w:eastAsia="Calibri" w:hAnsi="Times New Roman" w:cs="Times New Roman"/>
          <w:sz w:val="24"/>
          <w:szCs w:val="24"/>
        </w:rPr>
        <w:t xml:space="preserve"> This has </w:t>
      </w:r>
      <w:r w:rsidRPr="0040793A">
        <w:rPr>
          <w:rFonts w:ascii="Times New Roman" w:eastAsia="Calibri" w:hAnsi="Times New Roman" w:cs="Times New Roman"/>
          <w:sz w:val="24"/>
          <w:szCs w:val="24"/>
        </w:rPr>
        <w:lastRenderedPageBreak/>
        <w:t xml:space="preserve">in the past threatened the correct and effective dispensation of justice to aggrieved parties of the Islamic finance disputes as seen in a number of cases decided by the civil courts. A lot of write-ups has been made by scholars in the industry and call for other alternatives has been made which has led to a number of reforms being made to the dispute resolution sector of the Islamic finance industry in Malaysia. The provisions of sections 56 and 57 of the Central Bank of Malaysia Act (CBMA) 2009 which allow for reference of </w:t>
      </w:r>
      <w:r w:rsidRPr="0040793A">
        <w:rPr>
          <w:rFonts w:ascii="Times New Roman" w:eastAsia="Calibri" w:hAnsi="Times New Roman" w:cs="Times New Roman"/>
          <w:i/>
          <w:sz w:val="24"/>
          <w:szCs w:val="24"/>
          <w:lang w:val="en-MY"/>
        </w:rPr>
        <w:t>Sharī‘ah</w:t>
      </w:r>
      <w:r w:rsidRPr="0040793A">
        <w:rPr>
          <w:rFonts w:ascii="Times New Roman" w:eastAsia="Calibri" w:hAnsi="Times New Roman" w:cs="Times New Roman"/>
          <w:sz w:val="24"/>
          <w:szCs w:val="24"/>
        </w:rPr>
        <w:t xml:space="preserve"> matters to the Shariah Advisory Council (SAC) of Bank Negara are a sort of panacea to such a problem. This study is not unmindful of the fact that the constitutionality of the statutory powers and duties of SAC are currently being challenged at the Federal Court after the decision in </w:t>
      </w:r>
      <w:r w:rsidRPr="0040793A">
        <w:rPr>
          <w:rFonts w:ascii="Times New Roman" w:eastAsia="Calibri" w:hAnsi="Times New Roman" w:cs="Times New Roman"/>
          <w:i/>
          <w:sz w:val="24"/>
          <w:szCs w:val="24"/>
        </w:rPr>
        <w:t>Tan Sri Khalid</w:t>
      </w:r>
      <w:r w:rsidRPr="0040793A">
        <w:rPr>
          <w:rFonts w:ascii="Times New Roman" w:eastAsia="Calibri" w:hAnsi="Times New Roman" w:cs="Times New Roman"/>
          <w:iCs/>
          <w:sz w:val="24"/>
          <w:szCs w:val="24"/>
        </w:rPr>
        <w:t>’s case</w:t>
      </w:r>
      <w:r w:rsidRPr="0040793A">
        <w:rPr>
          <w:rFonts w:ascii="Times New Roman" w:eastAsia="Calibri" w:hAnsi="Times New Roman" w:cs="Times New Roman"/>
          <w:i/>
          <w:sz w:val="24"/>
          <w:szCs w:val="24"/>
        </w:rPr>
        <w:t>.</w:t>
      </w:r>
      <w:r w:rsidRPr="0040793A">
        <w:rPr>
          <w:rFonts w:ascii="Times New Roman" w:eastAsia="Calibri" w:hAnsi="Times New Roman" w:cs="Times New Roman"/>
          <w:sz w:val="24"/>
          <w:szCs w:val="24"/>
          <w:vertAlign w:val="superscript"/>
        </w:rPr>
        <w:footnoteReference w:id="12"/>
      </w:r>
    </w:p>
    <w:p w14:paraId="63747248" w14:textId="77777777" w:rsidR="0040793A" w:rsidRPr="0040793A" w:rsidRDefault="0040793A" w:rsidP="0037074D">
      <w:pPr>
        <w:spacing w:after="20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noProof/>
          <w:sz w:val="24"/>
          <w:szCs w:val="24"/>
          <w:lang w:eastAsia="en-GB"/>
        </w:rPr>
        <w:drawing>
          <wp:inline distT="0" distB="0" distL="0" distR="0" wp14:anchorId="214281B9" wp14:editId="0F775C6B">
            <wp:extent cx="5490210" cy="4124960"/>
            <wp:effectExtent l="19050" t="0" r="15240" b="27940"/>
            <wp:docPr id="10" name="Diagram 1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14:paraId="05512C45" w14:textId="77777777" w:rsidR="0040793A" w:rsidRPr="0040793A" w:rsidRDefault="00047CDD" w:rsidP="0037074D">
      <w:pPr>
        <w:spacing w:after="200" w:line="360" w:lineRule="auto"/>
        <w:jc w:val="center"/>
        <w:rPr>
          <w:rFonts w:ascii="Times New Roman" w:eastAsia="Calibri" w:hAnsi="Times New Roman" w:cs="Times New Roman"/>
          <w:sz w:val="24"/>
          <w:szCs w:val="24"/>
          <w:lang w:val="en-MY"/>
        </w:rPr>
      </w:pPr>
      <w:r>
        <w:rPr>
          <w:rFonts w:ascii="Times New Roman" w:eastAsia="Calibri" w:hAnsi="Times New Roman" w:cs="Times New Roman"/>
          <w:sz w:val="24"/>
          <w:szCs w:val="24"/>
          <w:lang w:val="en-MY"/>
        </w:rPr>
        <w:t xml:space="preserve">Figure </w:t>
      </w:r>
      <w:r w:rsidR="0040793A" w:rsidRPr="0040793A">
        <w:rPr>
          <w:rFonts w:ascii="Times New Roman" w:eastAsia="Calibri" w:hAnsi="Times New Roman" w:cs="Times New Roman"/>
          <w:sz w:val="24"/>
          <w:szCs w:val="24"/>
          <w:lang w:val="en-MY"/>
        </w:rPr>
        <w:t>1 SWOT Analysis on the Court Process</w:t>
      </w:r>
    </w:p>
    <w:p w14:paraId="161C0D10" w14:textId="77777777" w:rsidR="0040793A" w:rsidRPr="0040793A" w:rsidRDefault="0040793A" w:rsidP="0037074D">
      <w:pPr>
        <w:spacing w:after="200" w:line="360" w:lineRule="auto"/>
        <w:jc w:val="both"/>
        <w:outlineLvl w:val="1"/>
        <w:rPr>
          <w:rFonts w:ascii="Times New Roman" w:eastAsia="Calibri" w:hAnsi="Times New Roman" w:cs="Times New Roman"/>
          <w:b/>
          <w:sz w:val="24"/>
          <w:szCs w:val="24"/>
        </w:rPr>
      </w:pPr>
      <w:bookmarkStart w:id="28" w:name="_Toc384074393"/>
      <w:bookmarkStart w:id="29" w:name="_Toc384219397"/>
      <w:bookmarkStart w:id="30" w:name="_Toc384274304"/>
      <w:bookmarkStart w:id="31" w:name="_Toc393166985"/>
      <w:r w:rsidRPr="0040793A">
        <w:rPr>
          <w:rFonts w:ascii="Times New Roman" w:eastAsia="Calibri" w:hAnsi="Times New Roman" w:cs="Times New Roman"/>
          <w:b/>
          <w:sz w:val="24"/>
          <w:szCs w:val="24"/>
        </w:rPr>
        <w:t xml:space="preserve"> ARBITRATION </w:t>
      </w:r>
      <w:bookmarkEnd w:id="28"/>
      <w:bookmarkEnd w:id="29"/>
      <w:bookmarkEnd w:id="30"/>
      <w:r w:rsidRPr="0040793A">
        <w:rPr>
          <w:rFonts w:ascii="Times New Roman" w:eastAsia="Calibri" w:hAnsi="Times New Roman" w:cs="Times New Roman"/>
          <w:b/>
          <w:sz w:val="24"/>
          <w:szCs w:val="24"/>
        </w:rPr>
        <w:t>(KLRCA)</w:t>
      </w:r>
      <w:bookmarkEnd w:id="31"/>
    </w:p>
    <w:p w14:paraId="4D2DE8EB" w14:textId="77777777" w:rsidR="00047CDD" w:rsidRDefault="0040793A" w:rsidP="00047CDD">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The current state of arbitration for resolving Islamic finance disputes in Malaysia within the KLRCA framework and the newly introduced i-Arbitration Rules 2013</w:t>
      </w:r>
      <w:r w:rsidRPr="0040793A">
        <w:rPr>
          <w:rFonts w:ascii="Times New Roman" w:eastAsia="Calibri" w:hAnsi="Times New Roman" w:cs="Times New Roman"/>
          <w:sz w:val="24"/>
          <w:szCs w:val="24"/>
          <w:vertAlign w:val="superscript"/>
          <w:lang w:val="en-MY"/>
        </w:rPr>
        <w:footnoteReference w:id="13"/>
      </w:r>
      <w:r w:rsidRPr="0040793A">
        <w:rPr>
          <w:rFonts w:ascii="Times New Roman" w:eastAsia="Calibri" w:hAnsi="Times New Roman" w:cs="Times New Roman"/>
          <w:sz w:val="24"/>
          <w:szCs w:val="24"/>
          <w:lang w:val="en-MY"/>
        </w:rPr>
        <w:t xml:space="preserve"> is quite interesting. </w:t>
      </w:r>
      <w:r w:rsidRPr="0040793A">
        <w:rPr>
          <w:rFonts w:ascii="Times New Roman" w:eastAsia="Calibri" w:hAnsi="Times New Roman" w:cs="Times New Roman"/>
          <w:sz w:val="24"/>
          <w:szCs w:val="24"/>
          <w:lang w:val="en-MY"/>
        </w:rPr>
        <w:lastRenderedPageBreak/>
        <w:t xml:space="preserve">Malaysia remains competitive in the global finance marketplace as it is being considered the financial hub in the World. Therefore in order to maintain this success rate, its dispute resolution sector needs special attention. A SWOT analysis to highlight the constraints, potentials and challenges of the process of arbitration is hereby conducted. </w:t>
      </w:r>
      <w:bookmarkStart w:id="32" w:name="_Toc384074394"/>
      <w:bookmarkStart w:id="33" w:name="_Toc384219398"/>
      <w:bookmarkStart w:id="34" w:name="_Toc384274305"/>
      <w:bookmarkStart w:id="35" w:name="_Toc393166986"/>
    </w:p>
    <w:p w14:paraId="754D4B7F" w14:textId="77777777" w:rsidR="00E54580" w:rsidRDefault="00E54580" w:rsidP="00047CDD">
      <w:pPr>
        <w:spacing w:after="0" w:line="360" w:lineRule="auto"/>
        <w:jc w:val="both"/>
        <w:rPr>
          <w:rFonts w:ascii="Times New Roman" w:eastAsia="Calibri" w:hAnsi="Times New Roman" w:cs="Times New Roman"/>
          <w:b/>
          <w:bCs/>
          <w:sz w:val="24"/>
          <w:szCs w:val="24"/>
          <w:lang w:val="en-MY"/>
        </w:rPr>
      </w:pPr>
    </w:p>
    <w:p w14:paraId="315635F5" w14:textId="77777777" w:rsidR="0040793A" w:rsidRPr="00047CDD" w:rsidRDefault="0040793A" w:rsidP="00047CDD">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b/>
          <w:bCs/>
          <w:sz w:val="24"/>
          <w:szCs w:val="24"/>
          <w:lang w:val="en-MY"/>
        </w:rPr>
        <w:t xml:space="preserve"> Strengths</w:t>
      </w:r>
      <w:bookmarkEnd w:id="32"/>
      <w:bookmarkEnd w:id="33"/>
      <w:bookmarkEnd w:id="34"/>
      <w:bookmarkEnd w:id="35"/>
      <w:r w:rsidRPr="0040793A">
        <w:rPr>
          <w:rFonts w:ascii="Times New Roman" w:eastAsia="Calibri" w:hAnsi="Times New Roman" w:cs="Times New Roman"/>
          <w:b/>
          <w:bCs/>
          <w:sz w:val="24"/>
          <w:szCs w:val="24"/>
          <w:lang w:val="en-MY"/>
        </w:rPr>
        <w:t xml:space="preserve"> </w:t>
      </w:r>
    </w:p>
    <w:p w14:paraId="5360C45B" w14:textId="77777777" w:rsidR="0040793A" w:rsidRPr="0040793A" w:rsidRDefault="0040793A" w:rsidP="0037074D">
      <w:pPr>
        <w:spacing w:after="0" w:line="360" w:lineRule="auto"/>
        <w:jc w:val="both"/>
        <w:rPr>
          <w:rFonts w:ascii="Times New Roman" w:eastAsia="Batang" w:hAnsi="Times New Roman" w:cs="Times New Roman"/>
          <w:sz w:val="24"/>
          <w:szCs w:val="24"/>
          <w:lang w:eastAsia="ko-KR"/>
        </w:rPr>
      </w:pPr>
      <w:r w:rsidRPr="0040793A">
        <w:rPr>
          <w:rFonts w:ascii="Times New Roman" w:eastAsia="Batang" w:hAnsi="Times New Roman" w:cs="Times New Roman"/>
          <w:sz w:val="24"/>
          <w:szCs w:val="24"/>
          <w:lang w:eastAsia="ko-KR"/>
        </w:rPr>
        <w:t>The strengths of arbitration as one of the modes of dispute resolution mechanism in the Islamic finance industry in Malaysia stem most importantly from the fact that it is a very fast process.  For example arbitration under the auspices of KLRCA follows some procedures that are time bound. A look at Rule 12 shows that even the pronouncement of the award is limited to a certain period of time within which the arbitrator or the arbitral tribunal must abide by.</w:t>
      </w:r>
      <w:r w:rsidRPr="0040793A">
        <w:rPr>
          <w:rFonts w:ascii="Times New Roman" w:eastAsia="Batang" w:hAnsi="Times New Roman" w:cs="Times New Roman"/>
          <w:sz w:val="24"/>
          <w:szCs w:val="24"/>
          <w:vertAlign w:val="superscript"/>
          <w:lang w:eastAsia="ko-KR"/>
        </w:rPr>
        <w:footnoteReference w:id="14"/>
      </w:r>
      <w:r w:rsidRPr="0040793A">
        <w:rPr>
          <w:rFonts w:ascii="Times New Roman" w:eastAsia="Batang" w:hAnsi="Times New Roman" w:cs="Times New Roman"/>
          <w:sz w:val="24"/>
          <w:szCs w:val="24"/>
          <w:lang w:eastAsia="ko-KR"/>
        </w:rPr>
        <w:t xml:space="preserve"> This is to ensure that the procedure is not made to continue for such period of time and that the process may end within a reasonable time. Thus, arbitration strength lies in the fact that it is speedy and efficient. This is however not surprising if we consider the fact that the process of arbitration was developed as a streamlined alternative to provide fast, fair and final resolutions as against what operates under the court process.</w:t>
      </w:r>
      <w:r w:rsidRPr="0040793A">
        <w:rPr>
          <w:rFonts w:ascii="Times New Roman" w:eastAsia="Batang" w:hAnsi="Times New Roman" w:cs="Times New Roman"/>
          <w:sz w:val="24"/>
          <w:szCs w:val="24"/>
          <w:vertAlign w:val="superscript"/>
          <w:lang w:eastAsia="ko-KR"/>
        </w:rPr>
        <w:footnoteReference w:id="15"/>
      </w:r>
    </w:p>
    <w:p w14:paraId="4259B46B" w14:textId="77777777" w:rsidR="00E54580" w:rsidRDefault="00E54580" w:rsidP="0046060C">
      <w:pPr>
        <w:spacing w:after="0" w:line="360" w:lineRule="auto"/>
        <w:jc w:val="both"/>
        <w:rPr>
          <w:rFonts w:ascii="Times New Roman" w:eastAsia="Batang" w:hAnsi="Times New Roman" w:cs="Times New Roman"/>
          <w:sz w:val="24"/>
          <w:szCs w:val="24"/>
          <w:lang w:eastAsia="ko-KR"/>
        </w:rPr>
      </w:pPr>
    </w:p>
    <w:p w14:paraId="066B5327" w14:textId="77777777" w:rsidR="0040793A" w:rsidRPr="00E54580" w:rsidRDefault="0040793A" w:rsidP="0046060C">
      <w:pPr>
        <w:spacing w:after="0" w:line="360" w:lineRule="auto"/>
        <w:jc w:val="both"/>
        <w:rPr>
          <w:rFonts w:ascii="Times New Roman" w:eastAsia="Batang" w:hAnsi="Times New Roman" w:cs="Times New Roman"/>
          <w:sz w:val="24"/>
          <w:szCs w:val="24"/>
          <w:lang w:eastAsia="ko-KR"/>
        </w:rPr>
      </w:pPr>
      <w:r w:rsidRPr="0040793A">
        <w:rPr>
          <w:rFonts w:ascii="Times New Roman" w:eastAsia="Batang" w:hAnsi="Times New Roman" w:cs="Times New Roman"/>
          <w:sz w:val="24"/>
          <w:szCs w:val="24"/>
          <w:lang w:eastAsia="ko-KR"/>
        </w:rPr>
        <w:t>It is also believed that since the avenue for appeal of an arbitral award is limited, it is one of the strengths of the arbitration process for resolving Islamic finance disputes because it limits the duration of the dispute and any associated liability.</w:t>
      </w:r>
      <w:r w:rsidRPr="0040793A">
        <w:rPr>
          <w:rFonts w:ascii="Times New Roman" w:eastAsia="Batang" w:hAnsi="Times New Roman" w:cs="Times New Roman"/>
          <w:sz w:val="24"/>
          <w:szCs w:val="24"/>
          <w:vertAlign w:val="superscript"/>
          <w:lang w:eastAsia="ko-KR"/>
        </w:rPr>
        <w:footnoteReference w:id="16"/>
      </w:r>
      <w:r w:rsidRPr="0040793A">
        <w:rPr>
          <w:rFonts w:ascii="Times New Roman" w:eastAsia="Batang" w:hAnsi="Times New Roman" w:cs="Times New Roman"/>
          <w:sz w:val="24"/>
          <w:szCs w:val="24"/>
          <w:lang w:eastAsia="ko-KR"/>
        </w:rPr>
        <w:t xml:space="preserve"> According to the i-Arbitration Rules, the finality and binding nature of the KLRCA arbitral awards</w:t>
      </w:r>
      <w:r w:rsidRPr="0040793A">
        <w:rPr>
          <w:rFonts w:ascii="Times New Roman" w:eastAsia="Batang" w:hAnsi="Times New Roman" w:cs="Times New Roman"/>
          <w:sz w:val="24"/>
          <w:szCs w:val="24"/>
          <w:vertAlign w:val="superscript"/>
          <w:lang w:eastAsia="ko-KR"/>
        </w:rPr>
        <w:footnoteReference w:id="17"/>
      </w:r>
      <w:r w:rsidRPr="0040793A">
        <w:rPr>
          <w:rFonts w:ascii="Times New Roman" w:eastAsia="Batang" w:hAnsi="Times New Roman" w:cs="Times New Roman"/>
          <w:sz w:val="24"/>
          <w:szCs w:val="24"/>
          <w:lang w:eastAsia="ko-KR"/>
        </w:rPr>
        <w:t xml:space="preserve"> is an added strength. It is further provided that there shall be no appeal of the decision of an arbitrator under the KLRCA.</w:t>
      </w:r>
      <w:r w:rsidRPr="0040793A">
        <w:rPr>
          <w:rFonts w:ascii="Times New Roman" w:eastAsia="Batang" w:hAnsi="Times New Roman" w:cs="Times New Roman"/>
          <w:sz w:val="24"/>
          <w:szCs w:val="24"/>
          <w:vertAlign w:val="superscript"/>
          <w:lang w:eastAsia="ko-KR"/>
        </w:rPr>
        <w:footnoteReference w:id="18"/>
      </w:r>
      <w:r w:rsidRPr="0040793A">
        <w:rPr>
          <w:rFonts w:ascii="Times New Roman" w:eastAsia="Batang" w:hAnsi="Times New Roman" w:cs="Times New Roman"/>
          <w:sz w:val="24"/>
          <w:szCs w:val="24"/>
          <w:lang w:eastAsia="ko-KR"/>
        </w:rPr>
        <w:t xml:space="preserve"> This therefore reinforced the independency of the centre from the intervention of the Malaysian courts.</w:t>
      </w:r>
      <w:r w:rsidR="00E54580">
        <w:rPr>
          <w:rFonts w:ascii="Times New Roman" w:eastAsia="Batang" w:hAnsi="Times New Roman" w:cs="Times New Roman"/>
          <w:sz w:val="24"/>
          <w:szCs w:val="24"/>
          <w:lang w:eastAsia="ko-KR"/>
        </w:rPr>
        <w:t xml:space="preserve"> </w:t>
      </w:r>
      <w:r w:rsidRPr="0040793A">
        <w:rPr>
          <w:rFonts w:ascii="Times New Roman" w:eastAsia="Batang" w:hAnsi="Times New Roman" w:cs="Times New Roman"/>
          <w:sz w:val="24"/>
          <w:szCs w:val="24"/>
          <w:lang w:eastAsia="ko-KR"/>
        </w:rPr>
        <w:t xml:space="preserve">The enforceability of the awards given by an arbitrator is another of the numerous strengths of the procedure. Decisions reached are final and enforceable in the courts. Malaysia is a signatory to the 1958 New York Convention on the Recognition and Enforcement of </w:t>
      </w:r>
      <w:r w:rsidRPr="0040793A">
        <w:rPr>
          <w:rFonts w:ascii="Times New Roman" w:eastAsia="Batang" w:hAnsi="Times New Roman" w:cs="Times New Roman"/>
          <w:sz w:val="24"/>
          <w:szCs w:val="24"/>
          <w:lang w:eastAsia="ko-KR"/>
        </w:rPr>
        <w:lastRenderedPageBreak/>
        <w:t>Foreign Arbitral Awards which enables KLRCA’s arbitral awards to be enforceable in countries which are also signatories to the Convention.</w:t>
      </w:r>
      <w:r w:rsidRPr="0040793A">
        <w:rPr>
          <w:rFonts w:ascii="Times New Roman" w:eastAsia="Batang" w:hAnsi="Times New Roman" w:cs="Times New Roman"/>
          <w:sz w:val="24"/>
          <w:szCs w:val="24"/>
          <w:vertAlign w:val="superscript"/>
          <w:lang w:eastAsia="ko-KR"/>
        </w:rPr>
        <w:footnoteReference w:id="19"/>
      </w:r>
    </w:p>
    <w:p w14:paraId="5E61B052" w14:textId="77777777" w:rsidR="00E54580" w:rsidRDefault="00E54580" w:rsidP="0046060C">
      <w:pPr>
        <w:spacing w:after="0" w:line="360" w:lineRule="auto"/>
        <w:jc w:val="both"/>
        <w:rPr>
          <w:rFonts w:ascii="Times New Roman" w:eastAsia="Batang" w:hAnsi="Times New Roman" w:cs="Times New Roman"/>
          <w:sz w:val="24"/>
          <w:szCs w:val="24"/>
          <w:lang w:eastAsia="ko-KR"/>
        </w:rPr>
      </w:pPr>
    </w:p>
    <w:p w14:paraId="64B6199F" w14:textId="77777777" w:rsidR="0040793A" w:rsidRPr="0040793A" w:rsidRDefault="0040793A" w:rsidP="0046060C">
      <w:pPr>
        <w:spacing w:after="0" w:line="360" w:lineRule="auto"/>
        <w:jc w:val="both"/>
        <w:rPr>
          <w:rFonts w:ascii="Times New Roman" w:eastAsia="Batang" w:hAnsi="Times New Roman" w:cs="Times New Roman"/>
          <w:sz w:val="24"/>
          <w:szCs w:val="24"/>
          <w:lang w:eastAsia="ko-KR"/>
        </w:rPr>
      </w:pPr>
      <w:r w:rsidRPr="0040793A">
        <w:rPr>
          <w:rFonts w:ascii="Times New Roman" w:eastAsia="Batang" w:hAnsi="Times New Roman" w:cs="Times New Roman"/>
          <w:sz w:val="24"/>
          <w:szCs w:val="24"/>
          <w:lang w:eastAsia="ko-KR"/>
        </w:rPr>
        <w:t xml:space="preserve">However, the most relevant strength of arbitration to our current discussion is the fact that the expertise of the arbitrators is involved. An experienced arbitral tribunal may be better equipped than judges in a courtroom to grasp the salient facts, heed the technical subtleties, and envision a sensible award. This may save the parties time, money, and a continued working relationship. KLRCA provides a panel of experienced arbitrators who may preside over proceedings. Thus arbitration under the auspices of KLRCA has proven itself highly qualified to resolve Islamic finance disputes as it is provided under the i-Arbitration Rules that whenever the arbitrator or arbitral tribunal has to form an opinion on a point related to </w:t>
      </w:r>
      <w:r w:rsidRPr="0040793A">
        <w:rPr>
          <w:rFonts w:ascii="Times New Roman" w:eastAsia="Batang" w:hAnsi="Times New Roman" w:cs="Times New Roman"/>
          <w:i/>
          <w:sz w:val="24"/>
          <w:szCs w:val="24"/>
          <w:lang w:val="en-MY" w:eastAsia="ko-KR"/>
        </w:rPr>
        <w:t>Sharī‘ah</w:t>
      </w:r>
      <w:r w:rsidRPr="0040793A">
        <w:rPr>
          <w:rFonts w:ascii="Times New Roman" w:eastAsia="Batang" w:hAnsi="Times New Roman" w:cs="Times New Roman"/>
          <w:sz w:val="24"/>
          <w:szCs w:val="24"/>
          <w:lang w:eastAsia="ko-KR"/>
        </w:rPr>
        <w:t xml:space="preserve"> principles and decide on a dispute arising from the </w:t>
      </w:r>
      <w:r w:rsidRPr="0040793A">
        <w:rPr>
          <w:rFonts w:ascii="Times New Roman" w:eastAsia="Batang" w:hAnsi="Times New Roman" w:cs="Times New Roman"/>
          <w:i/>
          <w:sz w:val="24"/>
          <w:szCs w:val="24"/>
          <w:lang w:val="en-MY" w:eastAsia="ko-KR"/>
        </w:rPr>
        <w:t>Sharī‘ah</w:t>
      </w:r>
      <w:r w:rsidRPr="0040793A">
        <w:rPr>
          <w:rFonts w:ascii="Times New Roman" w:eastAsia="Batang" w:hAnsi="Times New Roman" w:cs="Times New Roman"/>
          <w:sz w:val="24"/>
          <w:szCs w:val="24"/>
          <w:lang w:eastAsia="ko-KR"/>
        </w:rPr>
        <w:t xml:space="preserve"> aspect of any agreement which is based on </w:t>
      </w:r>
      <w:r w:rsidRPr="0040793A">
        <w:rPr>
          <w:rFonts w:ascii="Times New Roman" w:eastAsia="Batang" w:hAnsi="Times New Roman" w:cs="Times New Roman"/>
          <w:i/>
          <w:sz w:val="24"/>
          <w:szCs w:val="24"/>
          <w:lang w:val="en-MY" w:eastAsia="ko-KR"/>
        </w:rPr>
        <w:t>Sharī‘ah</w:t>
      </w:r>
      <w:r w:rsidRPr="0040793A">
        <w:rPr>
          <w:rFonts w:ascii="Times New Roman" w:eastAsia="Batang" w:hAnsi="Times New Roman" w:cs="Times New Roman"/>
          <w:sz w:val="24"/>
          <w:szCs w:val="24"/>
          <w:lang w:eastAsia="ko-KR"/>
        </w:rPr>
        <w:t xml:space="preserve"> principles, it must refer the same to the SAC or where it is beyond the purview of the relevant council then it must refer the same to a </w:t>
      </w:r>
      <w:r w:rsidRPr="0040793A">
        <w:rPr>
          <w:rFonts w:ascii="Times New Roman" w:eastAsia="Batang" w:hAnsi="Times New Roman" w:cs="Times New Roman"/>
          <w:i/>
          <w:sz w:val="24"/>
          <w:szCs w:val="24"/>
          <w:lang w:val="en-MY" w:eastAsia="ko-KR"/>
        </w:rPr>
        <w:t>Sharī‘ah</w:t>
      </w:r>
      <w:r w:rsidRPr="0040793A">
        <w:rPr>
          <w:rFonts w:ascii="Times New Roman" w:eastAsia="Batang" w:hAnsi="Times New Roman" w:cs="Times New Roman"/>
          <w:sz w:val="24"/>
          <w:szCs w:val="24"/>
          <w:lang w:eastAsia="ko-KR"/>
        </w:rPr>
        <w:t xml:space="preserve"> expert.</w:t>
      </w:r>
      <w:r w:rsidRPr="0040793A">
        <w:rPr>
          <w:rFonts w:ascii="Times New Roman" w:eastAsia="Batang" w:hAnsi="Times New Roman" w:cs="Times New Roman"/>
          <w:sz w:val="24"/>
          <w:szCs w:val="24"/>
          <w:vertAlign w:val="superscript"/>
          <w:lang w:eastAsia="ko-KR"/>
        </w:rPr>
        <w:footnoteReference w:id="20"/>
      </w:r>
      <w:r w:rsidRPr="0040793A">
        <w:rPr>
          <w:rFonts w:ascii="Times New Roman" w:eastAsia="Batang" w:hAnsi="Times New Roman" w:cs="Times New Roman"/>
          <w:sz w:val="24"/>
          <w:szCs w:val="24"/>
          <w:lang w:eastAsia="ko-KR"/>
        </w:rPr>
        <w:t xml:space="preserve"> This is to ensure the correct ruling and award is arrived at in line with the </w:t>
      </w:r>
      <w:r w:rsidRPr="0040793A">
        <w:rPr>
          <w:rFonts w:ascii="Times New Roman" w:eastAsia="Batang" w:hAnsi="Times New Roman" w:cs="Times New Roman"/>
          <w:i/>
          <w:sz w:val="24"/>
          <w:szCs w:val="24"/>
          <w:lang w:val="en-MY" w:eastAsia="ko-KR"/>
        </w:rPr>
        <w:t>Sharī‘ah</w:t>
      </w:r>
      <w:r w:rsidRPr="0040793A">
        <w:rPr>
          <w:rFonts w:ascii="Times New Roman" w:eastAsia="Batang" w:hAnsi="Times New Roman" w:cs="Times New Roman"/>
          <w:sz w:val="24"/>
          <w:szCs w:val="24"/>
          <w:lang w:eastAsia="ko-KR"/>
        </w:rPr>
        <w:t xml:space="preserve"> principles. This to the researcher’s mind, is the best that can happen to Islamic finance industry as it disputes will finally be addressed in the manner most appropriate and by experts in the industry. </w:t>
      </w:r>
    </w:p>
    <w:p w14:paraId="3901CED1" w14:textId="77777777" w:rsidR="00E54580" w:rsidRDefault="00E54580" w:rsidP="0046060C">
      <w:pPr>
        <w:spacing w:after="0" w:line="360" w:lineRule="auto"/>
        <w:jc w:val="both"/>
        <w:rPr>
          <w:rFonts w:ascii="Times New Roman" w:eastAsia="Batang" w:hAnsi="Times New Roman" w:cs="Times New Roman"/>
          <w:sz w:val="24"/>
          <w:szCs w:val="24"/>
          <w:lang w:eastAsia="ko-KR"/>
        </w:rPr>
      </w:pPr>
    </w:p>
    <w:p w14:paraId="1567EA8A" w14:textId="77777777" w:rsidR="0040793A" w:rsidRPr="0040793A" w:rsidRDefault="0040793A" w:rsidP="0046060C">
      <w:pPr>
        <w:spacing w:after="0" w:line="360" w:lineRule="auto"/>
        <w:jc w:val="both"/>
        <w:rPr>
          <w:rFonts w:ascii="Times New Roman" w:eastAsia="Batang" w:hAnsi="Times New Roman" w:cs="Times New Roman"/>
          <w:sz w:val="24"/>
          <w:szCs w:val="24"/>
          <w:lang w:eastAsia="ko-KR"/>
        </w:rPr>
      </w:pPr>
      <w:r w:rsidRPr="0040793A">
        <w:rPr>
          <w:rFonts w:ascii="Times New Roman" w:eastAsia="Batang" w:hAnsi="Times New Roman" w:cs="Times New Roman"/>
          <w:sz w:val="24"/>
          <w:szCs w:val="24"/>
          <w:lang w:eastAsia="ko-KR"/>
        </w:rPr>
        <w:t>Furthermore, the flexibility and adaptability of procedure in arbitration is an added advantage. The adaptability and flexibility parties have in choosing or shaping their own arbitral process is one of arbitration's strengths. Parties have a significant degree of flexibility since there are numerous institutions or procedural rules to choose from when drafting an arbitration clause.</w:t>
      </w:r>
      <w:r w:rsidRPr="0040793A">
        <w:rPr>
          <w:rFonts w:ascii="Times New Roman" w:eastAsia="Batang" w:hAnsi="Times New Roman" w:cs="Times New Roman"/>
          <w:sz w:val="24"/>
          <w:szCs w:val="24"/>
          <w:vertAlign w:val="superscript"/>
          <w:lang w:eastAsia="ko-KR"/>
        </w:rPr>
        <w:footnoteReference w:id="21"/>
      </w:r>
      <w:r w:rsidRPr="0040793A">
        <w:rPr>
          <w:rFonts w:ascii="Times New Roman" w:eastAsia="Batang" w:hAnsi="Times New Roman" w:cs="Times New Roman"/>
          <w:sz w:val="24"/>
          <w:szCs w:val="24"/>
          <w:lang w:eastAsia="ko-KR"/>
        </w:rPr>
        <w:t xml:space="preserve">Arbitration can be more flexible for Islamic finance disputes as the KLRCA again ensures that the procedure adopted in the conduct of the arbitration proceedings is flexible and leaves open a wide ambit of discretion to the parties with regards their choice of arbitrators, </w:t>
      </w:r>
      <w:r w:rsidRPr="0040793A">
        <w:rPr>
          <w:rFonts w:ascii="Times New Roman" w:eastAsia="Batang" w:hAnsi="Times New Roman" w:cs="Times New Roman"/>
          <w:sz w:val="24"/>
          <w:szCs w:val="24"/>
          <w:lang w:eastAsia="ko-KR"/>
        </w:rPr>
        <w:lastRenderedPageBreak/>
        <w:t>conciliators and panellists, the place of dispute resolution and the applicability of the procedural rules for the benefits of all parties involved.</w:t>
      </w:r>
      <w:r w:rsidRPr="0040793A">
        <w:rPr>
          <w:rFonts w:ascii="Times New Roman" w:eastAsia="Batang" w:hAnsi="Times New Roman" w:cs="Times New Roman"/>
          <w:sz w:val="24"/>
          <w:szCs w:val="24"/>
          <w:vertAlign w:val="superscript"/>
          <w:lang w:eastAsia="ko-KR"/>
        </w:rPr>
        <w:footnoteReference w:id="22"/>
      </w:r>
    </w:p>
    <w:p w14:paraId="4E9D75F7" w14:textId="77777777" w:rsidR="00E54580" w:rsidRDefault="00E54580" w:rsidP="0046060C">
      <w:pPr>
        <w:spacing w:after="0" w:line="360" w:lineRule="auto"/>
        <w:jc w:val="both"/>
        <w:rPr>
          <w:rFonts w:ascii="Times New Roman" w:eastAsia="Batang" w:hAnsi="Times New Roman" w:cs="Times New Roman"/>
          <w:sz w:val="24"/>
          <w:szCs w:val="24"/>
          <w:lang w:eastAsia="ko-KR"/>
        </w:rPr>
      </w:pPr>
    </w:p>
    <w:p w14:paraId="09C369AA" w14:textId="77777777" w:rsidR="0040793A" w:rsidRPr="0040793A" w:rsidRDefault="0040793A" w:rsidP="0046060C">
      <w:pPr>
        <w:spacing w:after="0" w:line="360" w:lineRule="auto"/>
        <w:jc w:val="both"/>
        <w:rPr>
          <w:rFonts w:ascii="Times New Roman" w:eastAsia="Batang" w:hAnsi="Times New Roman" w:cs="Times New Roman"/>
          <w:sz w:val="24"/>
          <w:szCs w:val="24"/>
          <w:lang w:eastAsia="ko-KR"/>
        </w:rPr>
      </w:pPr>
      <w:r w:rsidRPr="0040793A">
        <w:rPr>
          <w:rFonts w:ascii="Times New Roman" w:eastAsia="Batang" w:hAnsi="Times New Roman" w:cs="Times New Roman"/>
          <w:sz w:val="24"/>
          <w:szCs w:val="24"/>
          <w:lang w:eastAsia="ko-KR"/>
        </w:rPr>
        <w:t>Also the proceeding of the centre and its award are guarded against the public and enjoys a high level of confidentiality. Arbitration is a private process, a big advantage for those parties who want the details of their quarrels kept out of the newspapers and public record of courts. If Islamic finance disputes are arbitrated upon under the auspices of the KLRCA, the confidentiality is assured.</w:t>
      </w:r>
      <w:r w:rsidRPr="0040793A">
        <w:rPr>
          <w:rFonts w:ascii="Times New Roman" w:eastAsia="Batang" w:hAnsi="Times New Roman" w:cs="Times New Roman"/>
          <w:sz w:val="24"/>
          <w:szCs w:val="24"/>
          <w:vertAlign w:val="superscript"/>
          <w:lang w:eastAsia="ko-KR"/>
        </w:rPr>
        <w:footnoteReference w:id="23"/>
      </w:r>
      <w:r w:rsidRPr="0040793A">
        <w:rPr>
          <w:rFonts w:ascii="Times New Roman" w:eastAsia="Batang" w:hAnsi="Times New Roman" w:cs="Times New Roman"/>
          <w:sz w:val="24"/>
          <w:szCs w:val="24"/>
          <w:lang w:eastAsia="ko-KR"/>
        </w:rPr>
        <w:t xml:space="preserve"> The privacy of the process may go a long way towards preserving an on-going business relationship between the parties. Arbitration has got privacy and fairness in its procedure. Arbitrators must remain free of bias, and be free of impartiality in relation to the parties and the subject matter of the dispute, and must be independent from relationships with one of the parties or someone closely connected with one of the parties.</w:t>
      </w:r>
      <w:r w:rsidRPr="0040793A">
        <w:rPr>
          <w:rFonts w:ascii="Times New Roman" w:eastAsia="Batang" w:hAnsi="Times New Roman" w:cs="Times New Roman"/>
          <w:sz w:val="24"/>
          <w:szCs w:val="24"/>
          <w:vertAlign w:val="superscript"/>
          <w:lang w:eastAsia="ko-KR"/>
        </w:rPr>
        <w:footnoteReference w:id="24"/>
      </w:r>
    </w:p>
    <w:p w14:paraId="28B94593" w14:textId="77777777" w:rsidR="00E54580" w:rsidRDefault="00E54580" w:rsidP="0046060C">
      <w:pPr>
        <w:spacing w:after="0" w:line="360" w:lineRule="auto"/>
        <w:jc w:val="both"/>
        <w:rPr>
          <w:rFonts w:ascii="Times New Roman" w:eastAsia="Batang" w:hAnsi="Times New Roman" w:cs="Times New Roman"/>
          <w:sz w:val="24"/>
          <w:szCs w:val="24"/>
          <w:lang w:eastAsia="ko-KR"/>
        </w:rPr>
      </w:pPr>
    </w:p>
    <w:p w14:paraId="66AECF53" w14:textId="77777777" w:rsidR="0040793A" w:rsidRPr="0040793A" w:rsidRDefault="0040793A" w:rsidP="0046060C">
      <w:pPr>
        <w:spacing w:after="0" w:line="360" w:lineRule="auto"/>
        <w:jc w:val="both"/>
        <w:rPr>
          <w:rFonts w:ascii="Times New Roman" w:eastAsia="Batang" w:hAnsi="Times New Roman" w:cs="Times New Roman"/>
          <w:sz w:val="24"/>
          <w:szCs w:val="24"/>
          <w:lang w:eastAsia="ko-KR"/>
        </w:rPr>
      </w:pPr>
      <w:r w:rsidRPr="0040793A">
        <w:rPr>
          <w:rFonts w:ascii="Times New Roman" w:eastAsia="Batang" w:hAnsi="Times New Roman" w:cs="Times New Roman"/>
          <w:sz w:val="24"/>
          <w:szCs w:val="24"/>
          <w:lang w:eastAsia="ko-KR"/>
        </w:rPr>
        <w:t>There is also great room for party participation as parties choose the role lawyers play in arbitral proceedings, and whether to avoid them altogether. Because of the relatively lower degree of complexity, it is often easier for the "lay-person" or non-lawyer to participate in an arbitral proceeding. In addition, the person representing a party in an arbitral proceeding is not required to be a licensed attorney at law. Also, arbitration provides the ability to customize the process. Language and cultural differences can be adequately dealt with by the parties using this process in settling their disputes for there is an element of choice in the process.</w:t>
      </w:r>
    </w:p>
    <w:p w14:paraId="5B548276" w14:textId="77777777" w:rsidR="00E54580" w:rsidRDefault="00E54580" w:rsidP="0046060C">
      <w:pPr>
        <w:spacing w:after="0" w:line="360" w:lineRule="auto"/>
        <w:jc w:val="both"/>
        <w:rPr>
          <w:rFonts w:ascii="Times New Roman" w:eastAsia="Batang" w:hAnsi="Times New Roman" w:cs="Times New Roman"/>
          <w:sz w:val="24"/>
          <w:szCs w:val="24"/>
          <w:lang w:eastAsia="ko-KR"/>
        </w:rPr>
      </w:pPr>
    </w:p>
    <w:p w14:paraId="541DC481" w14:textId="77777777" w:rsidR="0040793A" w:rsidRPr="00E54580" w:rsidRDefault="0040793A" w:rsidP="00E54580">
      <w:pPr>
        <w:spacing w:after="0" w:line="360" w:lineRule="auto"/>
        <w:jc w:val="both"/>
        <w:rPr>
          <w:rFonts w:ascii="Times New Roman" w:eastAsia="Batang" w:hAnsi="Times New Roman" w:cs="Times New Roman"/>
          <w:sz w:val="24"/>
          <w:szCs w:val="24"/>
          <w:lang w:eastAsia="ko-KR"/>
        </w:rPr>
      </w:pPr>
      <w:r w:rsidRPr="0040793A">
        <w:rPr>
          <w:rFonts w:ascii="Times New Roman" w:eastAsia="Batang" w:hAnsi="Times New Roman" w:cs="Times New Roman"/>
          <w:sz w:val="24"/>
          <w:szCs w:val="24"/>
          <w:lang w:eastAsia="ko-KR"/>
        </w:rPr>
        <w:t>In addition, the predictability of arbitration can be said to be one of the strengths of the process. Parties may select the place and the rules of arbitration in advance. All these are usually contained in an arbitration clause.</w:t>
      </w:r>
      <w:r w:rsidRPr="0040793A">
        <w:rPr>
          <w:rFonts w:ascii="Times New Roman" w:eastAsia="Batang" w:hAnsi="Times New Roman" w:cs="Times New Roman"/>
          <w:sz w:val="24"/>
          <w:szCs w:val="24"/>
          <w:vertAlign w:val="superscript"/>
          <w:lang w:eastAsia="ko-KR"/>
        </w:rPr>
        <w:footnoteReference w:id="25"/>
      </w:r>
      <w:r w:rsidRPr="0040793A">
        <w:rPr>
          <w:rFonts w:ascii="Times New Roman" w:eastAsia="Batang" w:hAnsi="Times New Roman" w:cs="Times New Roman"/>
          <w:sz w:val="24"/>
          <w:szCs w:val="24"/>
          <w:lang w:eastAsia="ko-KR"/>
        </w:rPr>
        <w:t xml:space="preserve"> There is also the issue of limited discovery which is an added advantage to the process as arbitrators usually arrange for limited exchange of documents, witness lists and dispositions relevant to the particular dispute.</w:t>
      </w:r>
      <w:r w:rsidRPr="0040793A">
        <w:rPr>
          <w:rFonts w:ascii="Times New Roman" w:eastAsia="Batang" w:hAnsi="Times New Roman" w:cs="Times New Roman"/>
          <w:sz w:val="24"/>
          <w:szCs w:val="24"/>
          <w:vertAlign w:val="superscript"/>
          <w:lang w:eastAsia="ko-KR"/>
        </w:rPr>
        <w:footnoteReference w:id="26"/>
      </w:r>
    </w:p>
    <w:p w14:paraId="15086853" w14:textId="77777777" w:rsidR="0040793A" w:rsidRPr="0040793A" w:rsidRDefault="0040793A" w:rsidP="0037074D">
      <w:pPr>
        <w:spacing w:after="200" w:line="360" w:lineRule="auto"/>
        <w:jc w:val="both"/>
        <w:outlineLvl w:val="2"/>
        <w:rPr>
          <w:rFonts w:ascii="Times New Roman" w:eastAsia="Calibri" w:hAnsi="Times New Roman" w:cs="Times New Roman"/>
          <w:b/>
          <w:bCs/>
          <w:sz w:val="24"/>
          <w:szCs w:val="24"/>
          <w:lang w:val="en-MY"/>
        </w:rPr>
      </w:pPr>
      <w:bookmarkStart w:id="36" w:name="_Toc384074395"/>
      <w:bookmarkStart w:id="37" w:name="_Toc384219399"/>
      <w:bookmarkStart w:id="38" w:name="_Toc384274306"/>
      <w:bookmarkStart w:id="39" w:name="_Toc393166987"/>
      <w:r w:rsidRPr="0040793A">
        <w:rPr>
          <w:rFonts w:ascii="Times New Roman" w:eastAsia="Calibri" w:hAnsi="Times New Roman" w:cs="Times New Roman"/>
          <w:b/>
          <w:bCs/>
          <w:sz w:val="24"/>
          <w:szCs w:val="24"/>
          <w:lang w:val="en-MY"/>
        </w:rPr>
        <w:lastRenderedPageBreak/>
        <w:t xml:space="preserve"> Weaknesses</w:t>
      </w:r>
      <w:bookmarkEnd w:id="36"/>
      <w:bookmarkEnd w:id="37"/>
      <w:bookmarkEnd w:id="38"/>
      <w:bookmarkEnd w:id="39"/>
    </w:p>
    <w:p w14:paraId="7E96FB5C" w14:textId="77777777" w:rsidR="0040793A" w:rsidRPr="0040793A" w:rsidRDefault="0040793A" w:rsidP="0037074D">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One of the weaknesses of the process of arbitration under the auspices of KLRCA is the cost</w:t>
      </w:r>
      <w:r w:rsidRPr="0040793A">
        <w:rPr>
          <w:rFonts w:ascii="Times New Roman" w:eastAsia="Calibri" w:hAnsi="Times New Roman" w:cs="Times New Roman"/>
          <w:sz w:val="24"/>
          <w:szCs w:val="24"/>
          <w:vertAlign w:val="superscript"/>
          <w:lang w:val="en-MY"/>
        </w:rPr>
        <w:footnoteReference w:id="27"/>
      </w:r>
      <w:r w:rsidRPr="0040793A">
        <w:rPr>
          <w:rFonts w:ascii="Times New Roman" w:eastAsia="Calibri" w:hAnsi="Times New Roman" w:cs="Times New Roman"/>
          <w:sz w:val="24"/>
          <w:szCs w:val="24"/>
          <w:lang w:val="en-MY"/>
        </w:rPr>
        <w:t xml:space="preserve"> involved in the process. In most arbitration agreements, the parties are expected to pay for the facilities to be used which includes, suitable accommodation for sittings of the arbitral tribunal, secretarial assistance, transcription services, video-conferencing and interpretation facilities. This adds an additional layer of cost that can be prohibitive, especially in small consumer disputes. Apart from the fess for facilities, it is also provided under the i-Arbitration Rules that “expenses reasonably incurred by the arbitral tribunal in connection with the reference to Sharī‘ah Advisory Council or </w:t>
      </w:r>
      <w:r w:rsidRPr="0040793A">
        <w:rPr>
          <w:rFonts w:ascii="Times New Roman" w:eastAsia="Calibri" w:hAnsi="Times New Roman" w:cs="Times New Roman"/>
          <w:i/>
          <w:sz w:val="24"/>
          <w:szCs w:val="24"/>
          <w:lang w:val="en-MY"/>
        </w:rPr>
        <w:t>Sharī‘ah</w:t>
      </w:r>
      <w:r w:rsidRPr="0040793A">
        <w:rPr>
          <w:rFonts w:ascii="Times New Roman" w:eastAsia="Calibri" w:hAnsi="Times New Roman" w:cs="Times New Roman"/>
          <w:iCs/>
          <w:sz w:val="24"/>
          <w:szCs w:val="24"/>
          <w:lang w:val="en-MY"/>
        </w:rPr>
        <w:t xml:space="preserve"> </w:t>
      </w:r>
      <w:r w:rsidRPr="0040793A">
        <w:rPr>
          <w:rFonts w:ascii="Times New Roman" w:eastAsia="Calibri" w:hAnsi="Times New Roman" w:cs="Times New Roman"/>
          <w:sz w:val="24"/>
          <w:szCs w:val="24"/>
          <w:lang w:val="en-MY"/>
        </w:rPr>
        <w:t>expert under rule 11” will be borne by the parties.</w:t>
      </w:r>
      <w:r w:rsidRPr="0040793A">
        <w:rPr>
          <w:rFonts w:ascii="Times New Roman" w:eastAsia="Calibri" w:hAnsi="Times New Roman" w:cs="Times New Roman"/>
          <w:sz w:val="24"/>
          <w:szCs w:val="24"/>
          <w:vertAlign w:val="superscript"/>
          <w:lang w:val="en-MY"/>
        </w:rPr>
        <w:footnoteReference w:id="28"/>
      </w:r>
      <w:r w:rsidRPr="0040793A">
        <w:rPr>
          <w:rFonts w:ascii="Times New Roman" w:eastAsia="Calibri" w:hAnsi="Times New Roman" w:cs="Times New Roman"/>
          <w:sz w:val="24"/>
          <w:szCs w:val="24"/>
          <w:lang w:val="en-MY"/>
        </w:rPr>
        <w:t>In fact arbitration under the auspices of KLRCA takes the issue of cost very paramount to the extent that non-payment of any of these fees by the parties may lead to an order for suspension or termination of the arbitral proceedings or any part thereof.</w:t>
      </w:r>
      <w:r w:rsidRPr="0040793A">
        <w:rPr>
          <w:rFonts w:ascii="Times New Roman" w:eastAsia="Calibri" w:hAnsi="Times New Roman" w:cs="Times New Roman"/>
          <w:sz w:val="24"/>
          <w:szCs w:val="24"/>
          <w:vertAlign w:val="superscript"/>
          <w:lang w:val="en-MY"/>
        </w:rPr>
        <w:footnoteReference w:id="29"/>
      </w:r>
      <w:r w:rsidRPr="0040793A">
        <w:rPr>
          <w:rFonts w:ascii="Times New Roman" w:eastAsia="Calibri" w:hAnsi="Times New Roman" w:cs="Times New Roman"/>
          <w:sz w:val="24"/>
          <w:szCs w:val="24"/>
          <w:lang w:val="en-MY"/>
        </w:rPr>
        <w:t xml:space="preserve">  This will defeat the essence of the process in the first place which is to ensure that justice is dispensed to aggrieved parties at the minimal cost possible to the parties. It is because of this reason that it is argued by Michael John Mustill that arbitration has come from its former roots when he stated what those concerned are doing in these words:</w:t>
      </w:r>
    </w:p>
    <w:p w14:paraId="0135F601" w14:textId="77777777" w:rsidR="0040793A" w:rsidRPr="0040793A" w:rsidRDefault="0040793A" w:rsidP="0037074D">
      <w:pPr>
        <w:spacing w:after="200" w:line="360" w:lineRule="auto"/>
        <w:ind w:left="720" w:right="804"/>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[A]rbitration is now a service industry, and a very profitable one at that. The arbitral institution, the arbitrators, the lawyers, the expert witnesses and the providers of ancillary services all charge fees on a scale which would quite literarily have been inconceivable thirty years ago. Hotel bills alone may now surpass what would then have been the entire cost of an arbitration.</w:t>
      </w:r>
      <w:r w:rsidRPr="0040793A">
        <w:rPr>
          <w:rFonts w:ascii="Times New Roman" w:eastAsia="Calibri" w:hAnsi="Times New Roman" w:cs="Times New Roman"/>
          <w:sz w:val="24"/>
          <w:szCs w:val="24"/>
          <w:vertAlign w:val="superscript"/>
          <w:lang w:val="en-MY"/>
        </w:rPr>
        <w:footnoteReference w:id="30"/>
      </w:r>
    </w:p>
    <w:p w14:paraId="0E2B4854" w14:textId="77777777" w:rsidR="0040793A" w:rsidRPr="0040793A" w:rsidRDefault="0040793A" w:rsidP="0046060C">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 xml:space="preserve">In addition, huge legal expenses can be obtained in an effort to confirm an arbitration award and this therefore negates the perceived economic incentive to arbitrate the dispute in the first place. It has been observed that “the fees of arbitrators are more expensive than a judge provided by the state, the administrative fees and expenses of some arbitral institutions can be substantial, and renting meeting rooms is more costly than using the public facilities of the </w:t>
      </w:r>
      <w:r w:rsidRPr="0040793A">
        <w:rPr>
          <w:rFonts w:ascii="Times New Roman" w:eastAsia="Calibri" w:hAnsi="Times New Roman" w:cs="Times New Roman"/>
          <w:sz w:val="24"/>
          <w:szCs w:val="24"/>
          <w:lang w:val="en-MY"/>
        </w:rPr>
        <w:lastRenderedPageBreak/>
        <w:t>courts”.</w:t>
      </w:r>
      <w:r w:rsidRPr="0040793A">
        <w:rPr>
          <w:rFonts w:ascii="Times New Roman" w:eastAsia="Calibri" w:hAnsi="Times New Roman" w:cs="Times New Roman"/>
          <w:sz w:val="24"/>
          <w:szCs w:val="24"/>
          <w:vertAlign w:val="superscript"/>
          <w:lang w:val="en-MY"/>
        </w:rPr>
        <w:footnoteReference w:id="31"/>
      </w:r>
      <w:r w:rsidRPr="0040793A">
        <w:rPr>
          <w:rFonts w:ascii="Times New Roman" w:eastAsia="Calibri" w:hAnsi="Times New Roman" w:cs="Times New Roman"/>
          <w:sz w:val="24"/>
          <w:szCs w:val="24"/>
          <w:lang w:val="en-MY"/>
        </w:rPr>
        <w:t xml:space="preserve">It can thus be seen that the cost of arbitration is becoming more expensive than litigation. </w:t>
      </w:r>
    </w:p>
    <w:p w14:paraId="2D826854" w14:textId="77777777" w:rsidR="00E54580" w:rsidRDefault="00E54580" w:rsidP="0046060C">
      <w:pPr>
        <w:spacing w:after="0" w:line="360" w:lineRule="auto"/>
        <w:jc w:val="both"/>
        <w:rPr>
          <w:rFonts w:ascii="Times New Roman" w:eastAsia="Calibri" w:hAnsi="Times New Roman" w:cs="Times New Roman"/>
          <w:sz w:val="24"/>
          <w:szCs w:val="24"/>
          <w:lang w:val="en-MY"/>
        </w:rPr>
      </w:pPr>
    </w:p>
    <w:p w14:paraId="7EE92B20" w14:textId="77777777" w:rsidR="0040793A" w:rsidRPr="0040793A" w:rsidRDefault="0040793A" w:rsidP="0046060C">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Another weakness of the process is that arbitration is not always quick; in fact, arbitration can require a client to pass through many stages before a decision is reached. Delay in arbitration is often caused by parties pursuing litigation collateral to arbitration, seeking to stay or limit arbitration, or to vacate an award. Parties to an arbitration process now seek out every procedural advantage to ensure that they win, regardless of the merits of their case. The parties especially the defendants spin out the arbitration process for as long as possible where they already feel their chances of winning are slim. It is now common for arbitration to last for months and even years, with protracted discovery and in some instances motion practice. Therefore, the hope that arbitration would be an inexpensive and quick alternative to litigation may be lost.</w:t>
      </w:r>
      <w:r w:rsidRPr="0040793A">
        <w:rPr>
          <w:rFonts w:ascii="Times New Roman" w:eastAsia="Calibri" w:hAnsi="Times New Roman" w:cs="Times New Roman"/>
          <w:sz w:val="24"/>
          <w:szCs w:val="24"/>
          <w:vertAlign w:val="superscript"/>
          <w:lang w:val="en-MY"/>
        </w:rPr>
        <w:footnoteReference w:id="32"/>
      </w:r>
      <w:r w:rsidRPr="0040793A">
        <w:rPr>
          <w:rFonts w:ascii="Times New Roman" w:eastAsia="Calibri" w:hAnsi="Times New Roman" w:cs="Times New Roman"/>
          <w:sz w:val="24"/>
          <w:szCs w:val="24"/>
          <w:lang w:val="en-MY"/>
        </w:rPr>
        <w:t xml:space="preserve"> In addition, inefficient management of the arbitration process by the arbitrator sometimes directly results in delay. Also delay can occur where there are multiple arbitrators on a panel and they all have to juggle their schedules for hearing dates. </w:t>
      </w:r>
    </w:p>
    <w:p w14:paraId="5228738E" w14:textId="77777777" w:rsidR="00E54580" w:rsidRDefault="00E54580" w:rsidP="0046060C">
      <w:pPr>
        <w:spacing w:after="0" w:line="360" w:lineRule="auto"/>
        <w:jc w:val="both"/>
        <w:rPr>
          <w:rFonts w:ascii="Times New Roman" w:eastAsia="Calibri" w:hAnsi="Times New Roman" w:cs="Times New Roman"/>
          <w:sz w:val="24"/>
          <w:szCs w:val="24"/>
          <w:lang w:val="en-MY"/>
        </w:rPr>
      </w:pPr>
    </w:p>
    <w:p w14:paraId="74E5F9A8" w14:textId="77777777" w:rsidR="0040793A" w:rsidRPr="0040793A" w:rsidRDefault="0040793A" w:rsidP="0046060C">
      <w:pPr>
        <w:spacing w:after="0" w:line="360" w:lineRule="auto"/>
        <w:jc w:val="both"/>
        <w:rPr>
          <w:rFonts w:ascii="Times New Roman" w:eastAsia="Calibri" w:hAnsi="Times New Roman" w:cs="Times New Roman"/>
          <w:sz w:val="24"/>
          <w:szCs w:val="24"/>
        </w:rPr>
      </w:pPr>
      <w:r w:rsidRPr="0040793A">
        <w:rPr>
          <w:rFonts w:ascii="Times New Roman" w:eastAsia="Calibri" w:hAnsi="Times New Roman" w:cs="Times New Roman"/>
          <w:sz w:val="24"/>
          <w:szCs w:val="24"/>
          <w:lang w:val="en-MY"/>
        </w:rPr>
        <w:t>Furthermore, arbitration is now no longer imbued by informality as it used to be but now in the words of Mustill, have all the “elephantine laboriousness” of an action in court.</w:t>
      </w:r>
      <w:r w:rsidRPr="0040793A">
        <w:rPr>
          <w:rFonts w:ascii="Times New Roman" w:eastAsia="Calibri" w:hAnsi="Times New Roman" w:cs="Times New Roman"/>
          <w:sz w:val="24"/>
          <w:szCs w:val="24"/>
          <w:vertAlign w:val="superscript"/>
          <w:lang w:val="en-MY"/>
        </w:rPr>
        <w:footnoteReference w:id="33"/>
      </w:r>
      <w:r w:rsidRPr="0040793A">
        <w:rPr>
          <w:rFonts w:ascii="Times New Roman" w:eastAsia="Calibri" w:hAnsi="Times New Roman" w:cs="Times New Roman"/>
          <w:sz w:val="24"/>
          <w:szCs w:val="24"/>
          <w:lang w:val="en-MY"/>
        </w:rPr>
        <w:t xml:space="preserve"> The legally binding nature of arbitration has led to its becoming more and more bound and fettered by the imposition of procedures mimicking those of the courts.</w:t>
      </w:r>
      <w:r w:rsidRPr="0040793A">
        <w:rPr>
          <w:rFonts w:ascii="Times New Roman" w:eastAsia="Calibri" w:hAnsi="Times New Roman" w:cs="Times New Roman"/>
          <w:sz w:val="24"/>
          <w:szCs w:val="24"/>
          <w:vertAlign w:val="superscript"/>
          <w:lang w:val="en-MY"/>
        </w:rPr>
        <w:footnoteReference w:id="34"/>
      </w:r>
      <w:r w:rsidRPr="0040793A">
        <w:rPr>
          <w:rFonts w:ascii="Times New Roman" w:eastAsia="Calibri" w:hAnsi="Times New Roman" w:cs="Times New Roman"/>
          <w:sz w:val="24"/>
          <w:szCs w:val="24"/>
          <w:lang w:val="en-MY"/>
        </w:rPr>
        <w:t xml:space="preserve"> Thus the arbitration process continues to be complex just as the complexity of arbitral disputes continues to increase. Arbitration is now governed by rules and laws both locally as well as internationally that non-adherence to them may lead to the award being quashed or not enforced. It is also because of the love for formality that arbitrators are not allowed to act as </w:t>
      </w:r>
      <w:r w:rsidRPr="0040793A">
        <w:rPr>
          <w:rFonts w:ascii="Times New Roman" w:eastAsia="Calibri" w:hAnsi="Times New Roman" w:cs="Times New Roman"/>
          <w:i/>
          <w:sz w:val="24"/>
          <w:szCs w:val="24"/>
          <w:lang w:val="en-MY"/>
        </w:rPr>
        <w:t>Amiable Compositieur</w:t>
      </w:r>
      <w:r w:rsidRPr="0040793A">
        <w:rPr>
          <w:rFonts w:ascii="Times New Roman" w:eastAsia="Calibri" w:hAnsi="Times New Roman" w:cs="Times New Roman"/>
          <w:sz w:val="24"/>
          <w:szCs w:val="24"/>
          <w:lang w:val="en-MY"/>
        </w:rPr>
        <w:t xml:space="preserve"> and cannot therefore arbitrate outside the rules or laws governing the process. </w:t>
      </w:r>
      <w:r w:rsidRPr="0040793A">
        <w:rPr>
          <w:rFonts w:ascii="Times New Roman" w:eastAsia="Calibri" w:hAnsi="Times New Roman" w:cs="Times New Roman"/>
          <w:sz w:val="24"/>
          <w:szCs w:val="24"/>
        </w:rPr>
        <w:t xml:space="preserve">This is another factor that is discussed further below.  </w:t>
      </w:r>
    </w:p>
    <w:p w14:paraId="35A79187" w14:textId="77777777" w:rsidR="00E54580" w:rsidRDefault="00E54580" w:rsidP="0046060C">
      <w:pPr>
        <w:spacing w:after="0" w:line="360" w:lineRule="auto"/>
        <w:jc w:val="both"/>
        <w:rPr>
          <w:rFonts w:ascii="Times New Roman" w:eastAsia="Calibri" w:hAnsi="Times New Roman" w:cs="Times New Roman"/>
          <w:sz w:val="24"/>
          <w:szCs w:val="24"/>
        </w:rPr>
      </w:pPr>
    </w:p>
    <w:p w14:paraId="7886A64E" w14:textId="77777777" w:rsidR="0040793A" w:rsidRPr="0040793A" w:rsidRDefault="0040793A" w:rsidP="0046060C">
      <w:pPr>
        <w:spacing w:after="0" w:line="360" w:lineRule="auto"/>
        <w:jc w:val="both"/>
        <w:rPr>
          <w:rFonts w:ascii="Times New Roman" w:eastAsia="Calibri" w:hAnsi="Times New Roman" w:cs="Times New Roman"/>
          <w:sz w:val="24"/>
          <w:szCs w:val="24"/>
        </w:rPr>
      </w:pPr>
      <w:r w:rsidRPr="0040793A">
        <w:rPr>
          <w:rFonts w:ascii="Times New Roman" w:eastAsia="Calibri" w:hAnsi="Times New Roman" w:cs="Times New Roman"/>
          <w:sz w:val="24"/>
          <w:szCs w:val="24"/>
        </w:rPr>
        <w:t xml:space="preserve">Courts intervention in the arbitration process is another weakness of this mechanism of dispute resolution. In jurisdictions where the courts have the power to intervene in the arbitration </w:t>
      </w:r>
      <w:r w:rsidRPr="0040793A">
        <w:rPr>
          <w:rFonts w:ascii="Times New Roman" w:eastAsia="Calibri" w:hAnsi="Times New Roman" w:cs="Times New Roman"/>
          <w:sz w:val="24"/>
          <w:szCs w:val="24"/>
        </w:rPr>
        <w:lastRenderedPageBreak/>
        <w:t>process,</w:t>
      </w:r>
      <w:r w:rsidRPr="0040793A">
        <w:rPr>
          <w:rFonts w:ascii="Times New Roman" w:eastAsia="Calibri" w:hAnsi="Times New Roman" w:cs="Times New Roman"/>
          <w:sz w:val="24"/>
          <w:szCs w:val="24"/>
          <w:vertAlign w:val="superscript"/>
        </w:rPr>
        <w:footnoteReference w:id="35"/>
      </w:r>
      <w:r w:rsidRPr="0040793A">
        <w:rPr>
          <w:rFonts w:ascii="Times New Roman" w:eastAsia="Calibri" w:hAnsi="Times New Roman" w:cs="Times New Roman"/>
          <w:sz w:val="24"/>
          <w:szCs w:val="24"/>
        </w:rPr>
        <w:t xml:space="preserve"> parties can appeal to the court in the context of this function and thereby delay the arbitration or frustrate it entirely, in substance reducing the arbitral process to simply a preliminary level in the appellate court system.</w:t>
      </w:r>
      <w:r w:rsidRPr="0040793A">
        <w:rPr>
          <w:rFonts w:ascii="Times New Roman" w:eastAsia="Calibri" w:hAnsi="Times New Roman" w:cs="Times New Roman"/>
          <w:sz w:val="24"/>
          <w:szCs w:val="24"/>
          <w:vertAlign w:val="superscript"/>
        </w:rPr>
        <w:footnoteReference w:id="36"/>
      </w:r>
      <w:r w:rsidRPr="0040793A">
        <w:rPr>
          <w:rFonts w:ascii="Times New Roman" w:eastAsia="Calibri" w:hAnsi="Times New Roman" w:cs="Times New Roman"/>
          <w:sz w:val="24"/>
          <w:szCs w:val="24"/>
        </w:rPr>
        <w:t xml:space="preserve"> It is important to note that most of the jurisdictions have abolished this procedure for example ‘case stated’ has been abolished in the arbitration laws of England. However in Malaysia, parties to an arbitration process are still able to seek judicial review of a question of law submitted for determination to the arbitrators.</w:t>
      </w:r>
      <w:r w:rsidRPr="0040793A">
        <w:rPr>
          <w:rFonts w:ascii="Times New Roman" w:eastAsia="Calibri" w:hAnsi="Times New Roman" w:cs="Times New Roman"/>
          <w:sz w:val="24"/>
          <w:szCs w:val="24"/>
          <w:vertAlign w:val="superscript"/>
        </w:rPr>
        <w:footnoteReference w:id="37"/>
      </w:r>
      <w:r w:rsidRPr="0040793A">
        <w:rPr>
          <w:rFonts w:ascii="Times New Roman" w:eastAsia="Calibri" w:hAnsi="Times New Roman" w:cs="Times New Roman"/>
          <w:sz w:val="24"/>
          <w:szCs w:val="24"/>
        </w:rPr>
        <w:t xml:space="preserve"> The Act provides that “It is not incompatible with an arbitration agreement for a party to request, before or during arbitral proceedings, from a court an interim measure of protection and for a court to grant such measure.”</w:t>
      </w:r>
      <w:r w:rsidRPr="0040793A">
        <w:rPr>
          <w:rFonts w:ascii="Times New Roman" w:eastAsia="Calibri" w:hAnsi="Times New Roman" w:cs="Times New Roman"/>
          <w:sz w:val="24"/>
          <w:szCs w:val="24"/>
          <w:vertAlign w:val="superscript"/>
        </w:rPr>
        <w:footnoteReference w:id="38"/>
      </w:r>
      <w:r w:rsidRPr="0040793A">
        <w:rPr>
          <w:rFonts w:ascii="Times New Roman" w:eastAsia="Calibri" w:hAnsi="Times New Roman" w:cs="Times New Roman"/>
          <w:sz w:val="24"/>
          <w:szCs w:val="24"/>
        </w:rPr>
        <w:t xml:space="preserve">The number of times this can be done is not mentioned and how long it is going to take is not known. Sometimes a mere question of law taken to court may take years before it is determined by the courts and may even be appealed against in the higher court by the dissatisfied party. An arbitrator once disclosed that the question of law he sent to court for referral was still pending for almost three (3) years then in the High Court. This invariably translates to delay in the arbitration process. This power may be abused by the losing parties to delay the payment of an award by requesting court intervention on grounds that prove to be wholly specious. The whole process of referring a matter of law to court makes arbitration litigious. </w:t>
      </w:r>
    </w:p>
    <w:p w14:paraId="60A6FC5D" w14:textId="77777777" w:rsidR="00337E59" w:rsidRDefault="00337E59" w:rsidP="0046060C">
      <w:pPr>
        <w:spacing w:after="0" w:line="360" w:lineRule="auto"/>
        <w:jc w:val="both"/>
        <w:rPr>
          <w:rFonts w:ascii="Times New Roman" w:eastAsia="Calibri" w:hAnsi="Times New Roman" w:cs="Times New Roman"/>
          <w:sz w:val="24"/>
          <w:szCs w:val="24"/>
          <w:lang w:val="en-MY"/>
        </w:rPr>
      </w:pPr>
    </w:p>
    <w:p w14:paraId="012C69B6" w14:textId="77777777" w:rsidR="0040793A" w:rsidRPr="0040793A" w:rsidRDefault="0040793A" w:rsidP="0046060C">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 xml:space="preserve">Part of the weaknesses of this process in resolving Islamic finance disputes in Malaysia is that the arbitrator’s power is quiet limited as he is not allowed under the English law to be an </w:t>
      </w:r>
      <w:r w:rsidRPr="0040793A">
        <w:rPr>
          <w:rFonts w:ascii="Times New Roman" w:eastAsia="Calibri" w:hAnsi="Times New Roman" w:cs="Times New Roman"/>
          <w:i/>
          <w:sz w:val="24"/>
          <w:szCs w:val="24"/>
          <w:lang w:val="en-MY"/>
        </w:rPr>
        <w:t>Amiable Compositieur</w:t>
      </w:r>
      <w:r w:rsidRPr="0040793A">
        <w:rPr>
          <w:rFonts w:ascii="Times New Roman" w:eastAsia="Calibri" w:hAnsi="Times New Roman" w:cs="Times New Roman"/>
          <w:sz w:val="24"/>
          <w:szCs w:val="24"/>
          <w:lang w:val="en-MY"/>
        </w:rPr>
        <w:t>.</w:t>
      </w:r>
      <w:r w:rsidRPr="0040793A">
        <w:rPr>
          <w:rFonts w:ascii="Times New Roman" w:eastAsia="Calibri" w:hAnsi="Times New Roman" w:cs="Times New Roman"/>
          <w:sz w:val="24"/>
          <w:szCs w:val="24"/>
          <w:vertAlign w:val="superscript"/>
          <w:lang w:val="en-MY"/>
        </w:rPr>
        <w:footnoteReference w:id="39"/>
      </w:r>
      <w:r w:rsidRPr="0040793A">
        <w:rPr>
          <w:rFonts w:ascii="Times New Roman" w:eastAsia="Calibri" w:hAnsi="Times New Roman" w:cs="Times New Roman"/>
          <w:sz w:val="24"/>
          <w:szCs w:val="24"/>
          <w:lang w:val="en-MY"/>
        </w:rPr>
        <w:t xml:space="preserve"> First, not all jurisdictions have allowed this, mostly the common law jurisdiction do not recognise this concept of </w:t>
      </w:r>
      <w:r w:rsidRPr="0040793A">
        <w:rPr>
          <w:rFonts w:ascii="Times New Roman" w:eastAsia="Calibri" w:hAnsi="Times New Roman" w:cs="Times New Roman"/>
          <w:i/>
          <w:iCs/>
          <w:sz w:val="24"/>
          <w:szCs w:val="24"/>
          <w:lang w:val="en-MY"/>
        </w:rPr>
        <w:t>Amiable Composition</w:t>
      </w:r>
      <w:r w:rsidRPr="0040793A">
        <w:rPr>
          <w:rFonts w:ascii="Times New Roman" w:eastAsia="Calibri" w:hAnsi="Times New Roman" w:cs="Times New Roman"/>
          <w:sz w:val="24"/>
          <w:szCs w:val="24"/>
          <w:lang w:val="en-MY"/>
        </w:rPr>
        <w:t xml:space="preserve"> and therefore an arbitrator is expected to only arbitrate strictly according to the laid down laws and rules and must not be </w:t>
      </w:r>
      <w:r w:rsidRPr="0040793A">
        <w:rPr>
          <w:rFonts w:ascii="Times New Roman" w:eastAsia="Calibri" w:hAnsi="Times New Roman" w:cs="Times New Roman"/>
          <w:sz w:val="24"/>
          <w:szCs w:val="24"/>
          <w:lang w:val="en-MY"/>
        </w:rPr>
        <w:lastRenderedPageBreak/>
        <w:t xml:space="preserve">seen going out of it. In Malaysia, the arbitrator or arbitral tribunal cannot act as </w:t>
      </w:r>
      <w:r w:rsidRPr="0040793A">
        <w:rPr>
          <w:rFonts w:ascii="Times New Roman" w:eastAsia="Calibri" w:hAnsi="Times New Roman" w:cs="Times New Roman"/>
          <w:i/>
          <w:sz w:val="24"/>
          <w:szCs w:val="24"/>
          <w:lang w:val="en-MY"/>
        </w:rPr>
        <w:t>Amiable Compositieur</w:t>
      </w:r>
      <w:r w:rsidRPr="0040793A">
        <w:rPr>
          <w:rFonts w:ascii="Times New Roman" w:eastAsia="Calibri" w:hAnsi="Times New Roman" w:cs="Times New Roman"/>
          <w:sz w:val="24"/>
          <w:szCs w:val="24"/>
          <w:lang w:val="en-MY"/>
        </w:rPr>
        <w:t xml:space="preserve"> as he is not authorised to arbitrate according to justice, equity and good conscience. Secondly, is the caveat put in most of this international conventions that ‘if the parties so decide’. This in a way limits the powers of an arbitrator to decide based on equity and principle of fairness in case the parties do not ‘decide so’. Therefore if the parties do not authorise the arbitrator to act as such he cannot and must not do so. The concept of </w:t>
      </w:r>
      <w:r w:rsidRPr="0040793A">
        <w:rPr>
          <w:rFonts w:ascii="Times New Roman" w:eastAsia="Calibri" w:hAnsi="Times New Roman" w:cs="Times New Roman"/>
          <w:i/>
          <w:iCs/>
          <w:sz w:val="24"/>
          <w:szCs w:val="24"/>
          <w:lang w:val="en-MY"/>
        </w:rPr>
        <w:t>Amiable Composition</w:t>
      </w:r>
      <w:r w:rsidRPr="0040793A">
        <w:rPr>
          <w:rFonts w:ascii="Times New Roman" w:eastAsia="Calibri" w:hAnsi="Times New Roman" w:cs="Times New Roman"/>
          <w:sz w:val="24"/>
          <w:szCs w:val="24"/>
          <w:lang w:val="en-MY"/>
        </w:rPr>
        <w:t xml:space="preserve"> enables the arbitrators to have more freedom to detach their decisions from municipal laws and decide the cases according to their own notions of justice.</w:t>
      </w:r>
      <w:r w:rsidRPr="0040793A">
        <w:rPr>
          <w:rFonts w:ascii="Times New Roman" w:eastAsia="Calibri" w:hAnsi="Times New Roman" w:cs="Times New Roman"/>
          <w:sz w:val="24"/>
          <w:szCs w:val="24"/>
          <w:vertAlign w:val="superscript"/>
          <w:lang w:val="en-MY"/>
        </w:rPr>
        <w:footnoteReference w:id="40"/>
      </w:r>
      <w:r w:rsidRPr="0040793A">
        <w:rPr>
          <w:rFonts w:ascii="Times New Roman" w:eastAsia="Calibri" w:hAnsi="Times New Roman" w:cs="Times New Roman"/>
          <w:sz w:val="24"/>
          <w:szCs w:val="24"/>
          <w:lang w:val="en-MY"/>
        </w:rPr>
        <w:t xml:space="preserve"> However if this power is not recognised it will have a serious effect on the whole process as what is supposed to be achieved by arbitration may no longer be achievable. Settlements of disputes sometimes require looking outside the box and not being strict with the rules and laws provided. </w:t>
      </w:r>
    </w:p>
    <w:p w14:paraId="1FE00A24" w14:textId="77777777" w:rsidR="00337E59" w:rsidRDefault="00337E59" w:rsidP="00337E59">
      <w:pPr>
        <w:spacing w:after="0" w:line="360" w:lineRule="auto"/>
        <w:jc w:val="both"/>
        <w:rPr>
          <w:rFonts w:ascii="Times New Roman" w:eastAsia="Calibri" w:hAnsi="Times New Roman" w:cs="Times New Roman"/>
          <w:sz w:val="24"/>
          <w:szCs w:val="24"/>
        </w:rPr>
      </w:pPr>
    </w:p>
    <w:p w14:paraId="70F1C232" w14:textId="77777777" w:rsidR="0040793A" w:rsidRPr="0040793A" w:rsidRDefault="0040793A" w:rsidP="00337E59">
      <w:pPr>
        <w:spacing w:after="0" w:line="360" w:lineRule="auto"/>
        <w:jc w:val="both"/>
        <w:rPr>
          <w:rFonts w:ascii="Times New Roman" w:eastAsia="Calibri" w:hAnsi="Times New Roman" w:cs="Times New Roman"/>
          <w:sz w:val="24"/>
          <w:szCs w:val="24"/>
        </w:rPr>
      </w:pPr>
      <w:r w:rsidRPr="0040793A">
        <w:rPr>
          <w:rFonts w:ascii="Times New Roman" w:eastAsia="Calibri" w:hAnsi="Times New Roman" w:cs="Times New Roman"/>
          <w:sz w:val="24"/>
          <w:szCs w:val="24"/>
        </w:rPr>
        <w:t>Furthermore, the criticism that arbitration has been hijacked by the lawyers shows the weakness of the process. One of the factors making arbitration as a process to face out is the fact that lawyers have overtaken the process in a way that depicts more formalism than even litigation. This is even more severe with the establishment of the senior International commercial arbitrators comprising mainly of highly senior lawyers and retired judges forming a caucus and not allowing outsiders to join. They have turned it into an exclusive club. This also can be said to have contributed to the process of arbitration being quiet costly and therefore not ideal for petty cases and of course not for the common man.  The situation is even made worse when these lawyers are not professionals in the art of arbitration because the training of lawyers in the profession contains virtually nothing about arbitration. Lawyers therefore come to arbitration knowing nothing of its possibilities, thinking of it in terms of litigation and assuming that the process of litigation, which they are used to and feel comfortable with, automatically apply.</w:t>
      </w:r>
      <w:r w:rsidRPr="0040793A">
        <w:rPr>
          <w:rFonts w:ascii="Times New Roman" w:eastAsia="Calibri" w:hAnsi="Times New Roman" w:cs="Times New Roman"/>
          <w:sz w:val="24"/>
          <w:szCs w:val="24"/>
          <w:vertAlign w:val="superscript"/>
        </w:rPr>
        <w:footnoteReference w:id="41"/>
      </w:r>
    </w:p>
    <w:p w14:paraId="05B3E992" w14:textId="77777777" w:rsidR="0040793A" w:rsidRPr="0040793A" w:rsidRDefault="0040793A" w:rsidP="0037074D">
      <w:pPr>
        <w:spacing w:after="0" w:line="360" w:lineRule="auto"/>
        <w:ind w:firstLine="720"/>
        <w:jc w:val="both"/>
        <w:rPr>
          <w:rFonts w:ascii="Times New Roman" w:eastAsia="Calibri" w:hAnsi="Times New Roman" w:cs="Times New Roman"/>
          <w:sz w:val="24"/>
          <w:szCs w:val="24"/>
        </w:rPr>
      </w:pPr>
    </w:p>
    <w:p w14:paraId="62144966" w14:textId="77777777" w:rsidR="0040793A" w:rsidRPr="0040793A" w:rsidRDefault="0040793A" w:rsidP="0037074D">
      <w:pPr>
        <w:spacing w:after="200" w:line="360" w:lineRule="auto"/>
        <w:jc w:val="both"/>
        <w:outlineLvl w:val="2"/>
        <w:rPr>
          <w:rFonts w:ascii="Times New Roman" w:eastAsia="Calibri" w:hAnsi="Times New Roman" w:cs="Times New Roman"/>
          <w:b/>
          <w:bCs/>
          <w:sz w:val="24"/>
          <w:szCs w:val="24"/>
          <w:lang w:val="en-MY"/>
        </w:rPr>
      </w:pPr>
      <w:bookmarkStart w:id="40" w:name="_Toc384074396"/>
      <w:bookmarkStart w:id="41" w:name="_Toc384219400"/>
      <w:bookmarkStart w:id="42" w:name="_Toc384274307"/>
      <w:bookmarkStart w:id="43" w:name="_Toc393166988"/>
      <w:r w:rsidRPr="0040793A">
        <w:rPr>
          <w:rFonts w:ascii="Times New Roman" w:eastAsia="Calibri" w:hAnsi="Times New Roman" w:cs="Times New Roman"/>
          <w:b/>
          <w:bCs/>
          <w:sz w:val="24"/>
          <w:szCs w:val="24"/>
          <w:lang w:val="en-MY"/>
        </w:rPr>
        <w:t xml:space="preserve"> Opportunities</w:t>
      </w:r>
      <w:bookmarkEnd w:id="40"/>
      <w:bookmarkEnd w:id="41"/>
      <w:bookmarkEnd w:id="42"/>
      <w:bookmarkEnd w:id="43"/>
    </w:p>
    <w:p w14:paraId="3F50B335" w14:textId="77777777" w:rsidR="0040793A" w:rsidRPr="0040793A" w:rsidRDefault="0040793A" w:rsidP="0037074D">
      <w:pPr>
        <w:spacing w:after="0" w:line="360" w:lineRule="auto"/>
        <w:jc w:val="both"/>
        <w:rPr>
          <w:rFonts w:ascii="Times New Roman" w:eastAsia="Times New Roman" w:hAnsi="Times New Roman" w:cs="Times New Roman"/>
          <w:sz w:val="24"/>
          <w:szCs w:val="24"/>
        </w:rPr>
      </w:pPr>
      <w:r w:rsidRPr="0040793A">
        <w:rPr>
          <w:rFonts w:ascii="Times New Roman" w:eastAsia="Times New Roman" w:hAnsi="Times New Roman" w:cs="Times New Roman"/>
          <w:sz w:val="24"/>
          <w:szCs w:val="24"/>
        </w:rPr>
        <w:t xml:space="preserve">One of the opportunities of the arbitration process as a mechanism for the dispute resolution in the Islamic finance industry is that Malaysia’s Islamic finance industry stands to benefit from </w:t>
      </w:r>
      <w:r w:rsidRPr="0040793A">
        <w:rPr>
          <w:rFonts w:ascii="Times New Roman" w:eastAsia="Times New Roman" w:hAnsi="Times New Roman" w:cs="Times New Roman"/>
          <w:sz w:val="24"/>
          <w:szCs w:val="24"/>
        </w:rPr>
        <w:lastRenderedPageBreak/>
        <w:t>the mechanism of arbitration as it will help them to deal with the challenges facing the dispute resolution sector of the industry such as the lack of adequate access to justice.</w:t>
      </w:r>
    </w:p>
    <w:p w14:paraId="15F7DA57" w14:textId="77777777" w:rsidR="00337E59" w:rsidRDefault="00337E59" w:rsidP="00337E59">
      <w:pPr>
        <w:spacing w:after="0" w:line="360" w:lineRule="auto"/>
        <w:jc w:val="both"/>
        <w:rPr>
          <w:rFonts w:ascii="Times New Roman" w:eastAsia="Times New Roman" w:hAnsi="Times New Roman" w:cs="Times New Roman"/>
          <w:sz w:val="24"/>
          <w:szCs w:val="24"/>
        </w:rPr>
      </w:pPr>
    </w:p>
    <w:p w14:paraId="607FE62A" w14:textId="77777777" w:rsidR="0040793A" w:rsidRPr="0040793A" w:rsidRDefault="0040793A" w:rsidP="00337E59">
      <w:pPr>
        <w:spacing w:after="0" w:line="360" w:lineRule="auto"/>
        <w:jc w:val="both"/>
        <w:rPr>
          <w:rFonts w:ascii="Times New Roman" w:eastAsia="Times New Roman" w:hAnsi="Times New Roman" w:cs="Times New Roman"/>
          <w:sz w:val="24"/>
          <w:szCs w:val="24"/>
        </w:rPr>
      </w:pPr>
      <w:r w:rsidRPr="0040793A">
        <w:rPr>
          <w:rFonts w:ascii="Times New Roman" w:eastAsia="Times New Roman" w:hAnsi="Times New Roman" w:cs="Times New Roman"/>
          <w:sz w:val="24"/>
          <w:szCs w:val="24"/>
        </w:rPr>
        <w:t>Another great opportunity provided by the use of this process is the recent proposal for a standardized dispute resolution mechanism whereby there will be a multi-door kind of institution that will cater for all the ADR processes. This is very much possible with arbitration. A similar line of action has been taken by the KLRCA which also provides for the conciliation and mediation processes and has consolidated them with arbitration.</w:t>
      </w:r>
      <w:r w:rsidRPr="0040793A">
        <w:rPr>
          <w:rFonts w:ascii="Times New Roman" w:eastAsia="Times New Roman" w:hAnsi="Times New Roman" w:cs="Times New Roman"/>
          <w:sz w:val="24"/>
          <w:szCs w:val="24"/>
          <w:vertAlign w:val="superscript"/>
        </w:rPr>
        <w:footnoteReference w:id="42"/>
      </w:r>
      <w:r w:rsidRPr="0040793A">
        <w:rPr>
          <w:rFonts w:ascii="Times New Roman" w:eastAsia="Times New Roman" w:hAnsi="Times New Roman" w:cs="Times New Roman"/>
          <w:sz w:val="24"/>
          <w:szCs w:val="24"/>
        </w:rPr>
        <w:t xml:space="preserve"> This serves as an incentive to the parties which will enable them resolve their disputes amicably still using the ADR mechanism.</w:t>
      </w:r>
    </w:p>
    <w:p w14:paraId="25ADB9B1" w14:textId="77777777" w:rsidR="0040793A" w:rsidRPr="0040793A" w:rsidRDefault="0040793A" w:rsidP="0037074D">
      <w:pPr>
        <w:spacing w:after="0" w:line="360" w:lineRule="auto"/>
        <w:rPr>
          <w:rFonts w:ascii="Times New Roman" w:eastAsia="Times New Roman" w:hAnsi="Times New Roman" w:cs="Times New Roman"/>
          <w:sz w:val="24"/>
          <w:szCs w:val="24"/>
        </w:rPr>
      </w:pPr>
    </w:p>
    <w:p w14:paraId="14B98C60" w14:textId="77777777" w:rsidR="0040793A" w:rsidRPr="0040793A" w:rsidRDefault="0040793A" w:rsidP="0037074D">
      <w:pPr>
        <w:spacing w:after="200" w:line="360" w:lineRule="auto"/>
        <w:jc w:val="both"/>
        <w:outlineLvl w:val="2"/>
        <w:rPr>
          <w:rFonts w:ascii="Times New Roman" w:eastAsia="Calibri" w:hAnsi="Times New Roman" w:cs="Times New Roman"/>
          <w:b/>
          <w:bCs/>
          <w:sz w:val="24"/>
          <w:szCs w:val="24"/>
          <w:lang w:val="en-MY"/>
        </w:rPr>
      </w:pPr>
      <w:bookmarkStart w:id="44" w:name="_Toc384074397"/>
      <w:bookmarkStart w:id="45" w:name="_Toc384219401"/>
      <w:bookmarkStart w:id="46" w:name="_Toc384274308"/>
      <w:bookmarkStart w:id="47" w:name="_Toc393166989"/>
      <w:r w:rsidRPr="0040793A">
        <w:rPr>
          <w:rFonts w:ascii="Times New Roman" w:eastAsia="Calibri" w:hAnsi="Times New Roman" w:cs="Times New Roman"/>
          <w:b/>
          <w:bCs/>
          <w:sz w:val="24"/>
          <w:szCs w:val="24"/>
          <w:lang w:val="en-MY"/>
        </w:rPr>
        <w:t>Threats</w:t>
      </w:r>
      <w:bookmarkEnd w:id="44"/>
      <w:bookmarkEnd w:id="45"/>
      <w:bookmarkEnd w:id="46"/>
      <w:bookmarkEnd w:id="47"/>
    </w:p>
    <w:p w14:paraId="2D4B06E2" w14:textId="77777777" w:rsidR="0040793A" w:rsidRPr="0040793A" w:rsidRDefault="0040793A" w:rsidP="0037074D">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Quite a number of threats affect the continual use of the mechanism of arbitration in resolving Islamic finance disputes in Malaysia. First is the fact that arbitration clauses are not properly drafted by parties</w:t>
      </w:r>
      <w:r w:rsidRPr="0040793A">
        <w:rPr>
          <w:rFonts w:ascii="Times New Roman" w:eastAsia="Calibri" w:hAnsi="Times New Roman" w:cs="Times New Roman"/>
          <w:color w:val="FF0000"/>
          <w:sz w:val="24"/>
          <w:szCs w:val="24"/>
          <w:lang w:val="en-MY"/>
        </w:rPr>
        <w:t xml:space="preserve"> </w:t>
      </w:r>
      <w:r w:rsidRPr="0040793A">
        <w:rPr>
          <w:rFonts w:ascii="Times New Roman" w:eastAsia="Calibri" w:hAnsi="Times New Roman" w:cs="Times New Roman"/>
          <w:sz w:val="24"/>
          <w:szCs w:val="24"/>
          <w:lang w:val="en-MY"/>
        </w:rPr>
        <w:t xml:space="preserve">and this is a major threat to the effective use of the process in resolving the disputes in the Islamic finance industry in Malaysia. </w:t>
      </w:r>
    </w:p>
    <w:p w14:paraId="3253D4EF" w14:textId="77777777" w:rsidR="00337E59" w:rsidRDefault="00337E59" w:rsidP="00337E59">
      <w:pPr>
        <w:spacing w:after="0" w:line="360" w:lineRule="auto"/>
        <w:jc w:val="both"/>
        <w:rPr>
          <w:rFonts w:ascii="Times New Roman" w:eastAsia="Calibri" w:hAnsi="Times New Roman" w:cs="Times New Roman"/>
          <w:sz w:val="24"/>
          <w:szCs w:val="24"/>
          <w:lang w:val="en-MY"/>
        </w:rPr>
      </w:pPr>
    </w:p>
    <w:p w14:paraId="551C9D94" w14:textId="77777777" w:rsidR="0040793A" w:rsidRPr="0040793A" w:rsidRDefault="0040793A" w:rsidP="00337E59">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Secondly, the increasing cost of the arbitral process is a major threat to the continual use of arbitration by parties in Islamic finance</w:t>
      </w:r>
      <w:r w:rsidRPr="0040793A">
        <w:rPr>
          <w:rFonts w:ascii="Times New Roman" w:eastAsia="Calibri" w:hAnsi="Times New Roman" w:cs="Times New Roman"/>
          <w:color w:val="FF0000"/>
          <w:sz w:val="24"/>
          <w:szCs w:val="24"/>
          <w:lang w:val="en-MY"/>
        </w:rPr>
        <w:t xml:space="preserve"> </w:t>
      </w:r>
      <w:r w:rsidRPr="0040793A">
        <w:rPr>
          <w:rFonts w:ascii="Times New Roman" w:eastAsia="Calibri" w:hAnsi="Times New Roman" w:cs="Times New Roman"/>
          <w:sz w:val="24"/>
          <w:szCs w:val="24"/>
          <w:lang w:val="en-MY"/>
        </w:rPr>
        <w:t>disputes. Arbitrators’ fees, administrative fees and rents of meeting rooms are now becoming more expensive than using the facilities of the courts provided by the state. The avoidance of liability by most of the institutions providing these processes and even the arbitral panels themselves can be a real threat to the applicability of the process by the parties.</w:t>
      </w:r>
      <w:r w:rsidRPr="0040793A">
        <w:rPr>
          <w:rFonts w:ascii="Times New Roman" w:eastAsia="Calibri" w:hAnsi="Times New Roman" w:cs="Times New Roman"/>
          <w:sz w:val="24"/>
          <w:szCs w:val="24"/>
          <w:vertAlign w:val="superscript"/>
          <w:lang w:val="en-MY"/>
        </w:rPr>
        <w:footnoteReference w:id="43"/>
      </w:r>
    </w:p>
    <w:p w14:paraId="45D61EEA" w14:textId="77777777" w:rsidR="00337E59" w:rsidRDefault="00337E59" w:rsidP="00337E59">
      <w:pPr>
        <w:spacing w:after="0" w:line="360" w:lineRule="auto"/>
        <w:jc w:val="both"/>
        <w:rPr>
          <w:rFonts w:ascii="Times New Roman" w:eastAsia="Calibri" w:hAnsi="Times New Roman" w:cs="Times New Roman"/>
          <w:sz w:val="24"/>
          <w:szCs w:val="24"/>
          <w:lang w:val="en-MY"/>
        </w:rPr>
      </w:pPr>
    </w:p>
    <w:p w14:paraId="426CE348" w14:textId="77777777" w:rsidR="0040793A" w:rsidRPr="0040793A" w:rsidRDefault="0040793A" w:rsidP="00337E59">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Attempt to avoid arbitration in bitter disputes is another threats to the use of this process. There may be litigation resulting from attempts to avoid arbitration, or enforcement of an award. In other words, a party to a dispute may ask a judge to assert initial jurisdiction of a dispute and to disregard the agreement to arbitrate.</w:t>
      </w:r>
    </w:p>
    <w:p w14:paraId="665806B0" w14:textId="77777777" w:rsidR="00337E59" w:rsidRDefault="00337E59" w:rsidP="00337E59">
      <w:pPr>
        <w:spacing w:after="200" w:line="360" w:lineRule="auto"/>
        <w:jc w:val="both"/>
        <w:rPr>
          <w:rFonts w:ascii="Times New Roman" w:eastAsia="Calibri" w:hAnsi="Times New Roman" w:cs="Times New Roman"/>
          <w:sz w:val="24"/>
          <w:szCs w:val="24"/>
          <w:lang w:val="en-MY"/>
        </w:rPr>
      </w:pPr>
    </w:p>
    <w:p w14:paraId="5A057D5B" w14:textId="77777777" w:rsidR="0040793A" w:rsidRPr="0040793A" w:rsidRDefault="0040793A" w:rsidP="00337E59">
      <w:pPr>
        <w:spacing w:after="20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Threats to the continual use of this process can also be seen in the typical limitations on discovery proceedings that exist where there is no complete discovery such as depositions, interrogatories, and requests for admissions. The parties may only have limited access to information before the arbitration hearing. The arbitrator may not provide a written or lengthy opinion explaining the arbitration award. This may make some parties to still prefer litigation to arbitration.</w:t>
      </w:r>
      <w:r w:rsidRPr="0040793A">
        <w:rPr>
          <w:rFonts w:ascii="Times New Roman" w:eastAsia="Calibri" w:hAnsi="Times New Roman" w:cs="Times New Roman"/>
          <w:sz w:val="24"/>
          <w:szCs w:val="24"/>
          <w:vertAlign w:val="superscript"/>
          <w:lang w:val="en-MY"/>
        </w:rPr>
        <w:footnoteReference w:id="44"/>
      </w:r>
      <w:r w:rsidRPr="0040793A">
        <w:rPr>
          <w:rFonts w:ascii="Times New Roman" w:eastAsia="Calibri" w:hAnsi="Times New Roman" w:cs="Times New Roman"/>
          <w:sz w:val="24"/>
          <w:szCs w:val="24"/>
          <w:lang w:val="en-MY"/>
        </w:rPr>
        <w:t xml:space="preserve"> Also, arbitrators may avoid requested interim relief measures because they do not want to appear to be favouring one party against the other.</w:t>
      </w:r>
    </w:p>
    <w:p w14:paraId="1FA6E9B9" w14:textId="77777777" w:rsidR="0040793A" w:rsidRPr="0040793A" w:rsidRDefault="0040793A" w:rsidP="0037074D">
      <w:pPr>
        <w:spacing w:after="20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noProof/>
          <w:sz w:val="24"/>
          <w:szCs w:val="24"/>
          <w:lang w:eastAsia="en-GB"/>
        </w:rPr>
        <w:drawing>
          <wp:inline distT="0" distB="0" distL="0" distR="0" wp14:anchorId="71212FE9" wp14:editId="213802F2">
            <wp:extent cx="5748020" cy="5135245"/>
            <wp:effectExtent l="0" t="38100" r="24130" b="27305"/>
            <wp:docPr id="9" name="Diagram 9"/>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616113A1" w14:textId="77777777" w:rsidR="0040793A" w:rsidRPr="0040793A" w:rsidRDefault="00047CDD" w:rsidP="00454838">
      <w:pPr>
        <w:spacing w:after="200" w:line="360" w:lineRule="auto"/>
        <w:jc w:val="center"/>
        <w:rPr>
          <w:rFonts w:ascii="Times New Roman" w:eastAsia="Calibri" w:hAnsi="Times New Roman" w:cs="Times New Roman"/>
          <w:sz w:val="24"/>
          <w:szCs w:val="24"/>
          <w:lang w:val="en-MY"/>
        </w:rPr>
      </w:pPr>
      <w:r>
        <w:rPr>
          <w:rFonts w:ascii="Times New Roman" w:eastAsia="Calibri" w:hAnsi="Times New Roman" w:cs="Times New Roman"/>
          <w:sz w:val="24"/>
          <w:szCs w:val="24"/>
          <w:lang w:val="en-MY"/>
        </w:rPr>
        <w:t xml:space="preserve">Figure </w:t>
      </w:r>
      <w:r w:rsidR="0040793A" w:rsidRPr="0040793A">
        <w:rPr>
          <w:rFonts w:ascii="Times New Roman" w:eastAsia="Calibri" w:hAnsi="Times New Roman" w:cs="Times New Roman"/>
          <w:sz w:val="24"/>
          <w:szCs w:val="24"/>
          <w:lang w:val="en-MY"/>
        </w:rPr>
        <w:t>2 SWOT Analysis on Arbitration</w:t>
      </w:r>
    </w:p>
    <w:p w14:paraId="643AF4E2" w14:textId="77777777" w:rsidR="0040793A" w:rsidRPr="0040793A" w:rsidRDefault="0040793A" w:rsidP="0037074D">
      <w:pPr>
        <w:spacing w:after="200" w:line="360" w:lineRule="auto"/>
        <w:jc w:val="both"/>
        <w:outlineLvl w:val="1"/>
        <w:rPr>
          <w:rFonts w:ascii="Times New Roman" w:eastAsia="Calibri" w:hAnsi="Times New Roman" w:cs="Times New Roman"/>
          <w:b/>
          <w:sz w:val="24"/>
          <w:szCs w:val="24"/>
        </w:rPr>
      </w:pPr>
      <w:bookmarkStart w:id="48" w:name="_Toc393166990"/>
      <w:bookmarkStart w:id="49" w:name="_Toc384074398"/>
      <w:bookmarkStart w:id="50" w:name="_Toc384219402"/>
      <w:bookmarkStart w:id="51" w:name="_Toc384274309"/>
      <w:r w:rsidRPr="0040793A">
        <w:rPr>
          <w:rFonts w:ascii="Times New Roman" w:eastAsia="Calibri" w:hAnsi="Times New Roman" w:cs="Times New Roman"/>
          <w:b/>
          <w:sz w:val="24"/>
          <w:szCs w:val="24"/>
        </w:rPr>
        <w:lastRenderedPageBreak/>
        <w:t>COURT-ANNEXED MEDIATION (KLCMC)</w:t>
      </w:r>
      <w:bookmarkEnd w:id="48"/>
      <w:r w:rsidRPr="0040793A">
        <w:rPr>
          <w:rFonts w:ascii="Times New Roman" w:eastAsia="Calibri" w:hAnsi="Times New Roman" w:cs="Times New Roman"/>
          <w:b/>
          <w:sz w:val="24"/>
          <w:szCs w:val="24"/>
        </w:rPr>
        <w:t xml:space="preserve"> </w:t>
      </w:r>
      <w:bookmarkEnd w:id="49"/>
      <w:bookmarkEnd w:id="50"/>
      <w:bookmarkEnd w:id="51"/>
      <w:r w:rsidRPr="0040793A">
        <w:rPr>
          <w:rFonts w:ascii="Times New Roman" w:eastAsia="Calibri" w:hAnsi="Times New Roman" w:cs="Times New Roman"/>
          <w:b/>
          <w:sz w:val="24"/>
          <w:szCs w:val="24"/>
        </w:rPr>
        <w:t xml:space="preserve"> </w:t>
      </w:r>
    </w:p>
    <w:p w14:paraId="44D1636F" w14:textId="77777777" w:rsidR="0040793A" w:rsidRPr="0040793A" w:rsidRDefault="0040793A" w:rsidP="0037074D">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rPr>
        <w:t xml:space="preserve">The KLCMC </w:t>
      </w:r>
      <w:r w:rsidRPr="0040793A">
        <w:rPr>
          <w:rFonts w:ascii="Times New Roman" w:eastAsia="Calibri" w:hAnsi="Times New Roman" w:cs="Times New Roman"/>
          <w:sz w:val="24"/>
          <w:szCs w:val="24"/>
          <w:lang w:val="en-MY"/>
        </w:rPr>
        <w:t>was introduced in 2011 and “creates ample opportunity for the Muamalat Bench of the Kuala Lumpur High Court to explore amicable dispute resolution processes in the handling of Islamic finance disputes”. It employs the use of court-annexed mediation which is one of the ADR processes that allows the court, with the consent of the parties, to refer the proceeding, or any part thereof, to a mediator for mediation. This is a court-ordered type of mediation. It is an almost compulsory mechanism as it is ordered by the judge sitting on a matter if he feels the parties may get their dispute settled through mediation.</w:t>
      </w:r>
      <w:r w:rsidRPr="0040793A">
        <w:rPr>
          <w:rFonts w:ascii="Times New Roman" w:eastAsia="Calibri" w:hAnsi="Times New Roman" w:cs="Times New Roman"/>
          <w:sz w:val="24"/>
          <w:szCs w:val="24"/>
          <w:vertAlign w:val="superscript"/>
          <w:lang w:val="en-MY"/>
        </w:rPr>
        <w:footnoteReference w:id="45"/>
      </w:r>
      <w:r w:rsidRPr="0040793A">
        <w:rPr>
          <w:rFonts w:ascii="Times New Roman" w:eastAsia="Calibri" w:hAnsi="Times New Roman" w:cs="Times New Roman"/>
          <w:sz w:val="24"/>
          <w:szCs w:val="24"/>
          <w:lang w:val="en-MY"/>
        </w:rPr>
        <w:t xml:space="preserve"> This process is attached to the High Court of Kuala Lumpur</w:t>
      </w:r>
      <w:r w:rsidRPr="0040793A">
        <w:rPr>
          <w:rFonts w:ascii="Times New Roman" w:eastAsia="Calibri" w:hAnsi="Times New Roman" w:cs="Times New Roman"/>
          <w:sz w:val="24"/>
          <w:szCs w:val="24"/>
          <w:vertAlign w:val="superscript"/>
          <w:lang w:val="en-MY"/>
        </w:rPr>
        <w:footnoteReference w:id="46"/>
      </w:r>
      <w:r w:rsidRPr="0040793A">
        <w:rPr>
          <w:rFonts w:ascii="Times New Roman" w:eastAsia="Calibri" w:hAnsi="Times New Roman" w:cs="Times New Roman"/>
          <w:sz w:val="24"/>
          <w:szCs w:val="24"/>
          <w:lang w:val="en-MY"/>
        </w:rPr>
        <w:t xml:space="preserve"> and as therefore it uses judges as mediators who sit as mediators and are called such. The court annexed mediation process is integrated into the court process to ensure that mediation is available to all litigants and it might also be mandated as part of the civil litigation process.  It is provided at no cost to the parties and nothing is lost by attempting to mediate a solution.</w:t>
      </w:r>
      <w:r w:rsidRPr="0040793A">
        <w:rPr>
          <w:rFonts w:ascii="Times New Roman" w:eastAsia="Calibri" w:hAnsi="Times New Roman" w:cs="Times New Roman"/>
          <w:sz w:val="24"/>
          <w:szCs w:val="24"/>
          <w:vertAlign w:val="superscript"/>
          <w:lang w:val="en-MY"/>
        </w:rPr>
        <w:footnoteReference w:id="47"/>
      </w:r>
      <w:r w:rsidRPr="0040793A">
        <w:rPr>
          <w:rFonts w:ascii="Times New Roman" w:eastAsia="Calibri" w:hAnsi="Times New Roman" w:cs="Times New Roman"/>
          <w:sz w:val="24"/>
          <w:szCs w:val="24"/>
          <w:lang w:val="en-MY"/>
        </w:rPr>
        <w:t xml:space="preserve"> </w:t>
      </w:r>
    </w:p>
    <w:p w14:paraId="2FE0714B" w14:textId="77777777" w:rsidR="00337E59" w:rsidRDefault="00337E59" w:rsidP="00337E59">
      <w:pPr>
        <w:spacing w:after="0" w:line="360" w:lineRule="auto"/>
        <w:jc w:val="both"/>
        <w:rPr>
          <w:rFonts w:ascii="Times New Roman" w:eastAsia="Calibri" w:hAnsi="Times New Roman" w:cs="Times New Roman"/>
          <w:sz w:val="24"/>
          <w:szCs w:val="24"/>
        </w:rPr>
      </w:pPr>
    </w:p>
    <w:p w14:paraId="5067072A" w14:textId="77777777" w:rsidR="0040793A" w:rsidRPr="0040793A" w:rsidRDefault="0040793A" w:rsidP="00337E59">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rPr>
        <w:t xml:space="preserve">Before the establishment of the centre, whenever a judge feels the parties need mediation, the process is conducted in the judge’s chamber and he mediates as a judge and he is still addressed as such. </w:t>
      </w:r>
      <w:r w:rsidRPr="0040793A">
        <w:rPr>
          <w:rFonts w:ascii="Times New Roman" w:eastAsia="Calibri" w:hAnsi="Times New Roman" w:cs="Times New Roman"/>
          <w:sz w:val="24"/>
          <w:szCs w:val="24"/>
          <w:lang w:val="en-MY"/>
        </w:rPr>
        <w:t>Commercial disputes are usually referred to this centre for settlement but if no compromise is reached through this process, the parties may proceed to the High Court for the litigation process. The court-annexed mediation started in Malaysia pursuant to the issuance of the Practice Direction No. 5 of 2010 on Mediation by the Chief Registrar of the Federal Court of Malaysia, which took effect on the 16</w:t>
      </w:r>
      <w:r w:rsidRPr="0040793A">
        <w:rPr>
          <w:rFonts w:ascii="Times New Roman" w:eastAsia="Calibri" w:hAnsi="Times New Roman" w:cs="Times New Roman"/>
          <w:sz w:val="24"/>
          <w:szCs w:val="24"/>
          <w:vertAlign w:val="superscript"/>
          <w:lang w:val="en-MY"/>
        </w:rPr>
        <w:t>th</w:t>
      </w:r>
      <w:r w:rsidRPr="0040793A">
        <w:rPr>
          <w:rFonts w:ascii="Times New Roman" w:eastAsia="Calibri" w:hAnsi="Times New Roman" w:cs="Times New Roman"/>
          <w:sz w:val="24"/>
          <w:szCs w:val="24"/>
          <w:lang w:val="en-MY"/>
        </w:rPr>
        <w:t xml:space="preserve"> August, 2010.</w:t>
      </w:r>
    </w:p>
    <w:p w14:paraId="1B8AA396" w14:textId="77777777" w:rsidR="00047CDD" w:rsidRDefault="00047CDD" w:rsidP="0037074D">
      <w:pPr>
        <w:spacing w:after="200" w:line="360" w:lineRule="auto"/>
        <w:jc w:val="both"/>
        <w:outlineLvl w:val="2"/>
        <w:rPr>
          <w:rFonts w:ascii="Times New Roman" w:eastAsia="Calibri" w:hAnsi="Times New Roman" w:cs="Times New Roman"/>
          <w:sz w:val="24"/>
          <w:szCs w:val="24"/>
          <w:lang w:val="en-MY"/>
        </w:rPr>
      </w:pPr>
      <w:bookmarkStart w:id="52" w:name="_Toc384074399"/>
      <w:bookmarkStart w:id="53" w:name="_Toc384219403"/>
      <w:bookmarkStart w:id="54" w:name="_Toc384274310"/>
      <w:bookmarkStart w:id="55" w:name="_Toc393166991"/>
    </w:p>
    <w:p w14:paraId="30B2765A" w14:textId="77777777" w:rsidR="0040793A" w:rsidRPr="0040793A" w:rsidRDefault="0040793A" w:rsidP="0037074D">
      <w:pPr>
        <w:spacing w:after="200" w:line="360" w:lineRule="auto"/>
        <w:jc w:val="both"/>
        <w:outlineLvl w:val="2"/>
        <w:rPr>
          <w:rFonts w:ascii="Times New Roman" w:eastAsia="Calibri" w:hAnsi="Times New Roman" w:cs="Times New Roman"/>
          <w:b/>
          <w:bCs/>
          <w:sz w:val="24"/>
          <w:szCs w:val="24"/>
          <w:lang w:val="en-MY"/>
        </w:rPr>
      </w:pPr>
      <w:r w:rsidRPr="0040793A">
        <w:rPr>
          <w:rFonts w:ascii="Times New Roman" w:eastAsia="Calibri" w:hAnsi="Times New Roman" w:cs="Times New Roman"/>
          <w:b/>
          <w:bCs/>
          <w:sz w:val="24"/>
          <w:szCs w:val="24"/>
          <w:lang w:val="en-MY"/>
        </w:rPr>
        <w:t xml:space="preserve"> Strengths</w:t>
      </w:r>
      <w:bookmarkEnd w:id="52"/>
      <w:bookmarkEnd w:id="53"/>
      <w:bookmarkEnd w:id="54"/>
      <w:bookmarkEnd w:id="55"/>
    </w:p>
    <w:p w14:paraId="497331C3" w14:textId="77777777" w:rsidR="0040793A" w:rsidRPr="0040793A" w:rsidRDefault="0040793A" w:rsidP="00337E59">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 xml:space="preserve">One of the strengths of this process is that the settlement arrived at by the parties with the help of the mediator is recorded as a consent judgement of the court which will be binding on the parties if it is successful and would have saved the parties from the cost, stress and time of litigation. In sum, the mediation process is flexible and helps to keep the relation-valuable, </w:t>
      </w:r>
      <w:r w:rsidRPr="0040793A">
        <w:rPr>
          <w:rFonts w:ascii="Times New Roman" w:eastAsia="Calibri" w:hAnsi="Times New Roman" w:cs="Times New Roman"/>
          <w:sz w:val="24"/>
          <w:szCs w:val="24"/>
          <w:lang w:val="en-MY"/>
        </w:rPr>
        <w:lastRenderedPageBreak/>
        <w:t>personal or commercial-intact.</w:t>
      </w:r>
      <w:r w:rsidRPr="0040793A">
        <w:rPr>
          <w:rFonts w:ascii="Times New Roman" w:eastAsia="Calibri" w:hAnsi="Times New Roman" w:cs="Times New Roman"/>
          <w:sz w:val="24"/>
          <w:szCs w:val="24"/>
          <w:vertAlign w:val="superscript"/>
          <w:lang w:val="en-MY"/>
        </w:rPr>
        <w:footnoteReference w:id="48"/>
      </w:r>
      <w:r w:rsidRPr="0040793A">
        <w:rPr>
          <w:rFonts w:ascii="Times New Roman" w:eastAsia="Calibri" w:hAnsi="Times New Roman" w:cs="Times New Roman"/>
          <w:sz w:val="24"/>
          <w:szCs w:val="24"/>
          <w:lang w:val="en-MY"/>
        </w:rPr>
        <w:t xml:space="preserve">Also the court-annexed mediation is a result oriented process because parties have to report back to the court in order for the judge to become aware of the progress of the resolution process and give directions with regards to some issues as necessary. There is therefore seriousness on the part of the participants because of the judicial involvement.  </w:t>
      </w:r>
    </w:p>
    <w:p w14:paraId="6348E239" w14:textId="77777777" w:rsidR="00337E59" w:rsidRDefault="00337E59" w:rsidP="00337E59">
      <w:pPr>
        <w:spacing w:after="0" w:line="360" w:lineRule="auto"/>
        <w:jc w:val="both"/>
        <w:rPr>
          <w:rFonts w:ascii="Times New Roman" w:eastAsia="Calibri" w:hAnsi="Times New Roman" w:cs="Times New Roman"/>
          <w:sz w:val="24"/>
          <w:szCs w:val="24"/>
          <w:lang w:val="en-MY"/>
        </w:rPr>
      </w:pPr>
    </w:p>
    <w:p w14:paraId="7E1BA37B" w14:textId="77777777" w:rsidR="0040793A" w:rsidRPr="0040793A" w:rsidRDefault="0040793A" w:rsidP="00337E59">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 xml:space="preserve">Another important strength of the process is the fact that all issues are settled, not only legal cause of action as taking to court in the first instance. This is determined without fear of it being disclosed in the event that the settlement fails and there is need to go back to court. It is said that: </w:t>
      </w:r>
    </w:p>
    <w:p w14:paraId="055BB2C7" w14:textId="77777777" w:rsidR="0040793A" w:rsidRPr="0040793A" w:rsidRDefault="0040793A" w:rsidP="0037074D">
      <w:pPr>
        <w:spacing w:after="200" w:line="360" w:lineRule="auto"/>
        <w:ind w:left="720" w:right="804"/>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All disclosures, admissions and communications made in and during a mediation session are strictly without prejudice.  Such communications do not form part of any record.  The mediator shall not be compelled to divulge such records or testify as a witness or consultant in any judicial proceeding, unless all parties to the Court proceedings and the mediation proceedings consent to their inclusion in the record or for any other use.</w:t>
      </w:r>
      <w:r w:rsidRPr="0040793A">
        <w:rPr>
          <w:rFonts w:ascii="Times New Roman" w:eastAsia="Calibri" w:hAnsi="Times New Roman" w:cs="Times New Roman"/>
          <w:sz w:val="24"/>
          <w:szCs w:val="24"/>
          <w:vertAlign w:val="superscript"/>
          <w:lang w:val="en-MY"/>
        </w:rPr>
        <w:footnoteReference w:id="49"/>
      </w:r>
    </w:p>
    <w:p w14:paraId="29E630F8" w14:textId="77777777" w:rsidR="0040793A" w:rsidRPr="0040793A" w:rsidRDefault="0040793A" w:rsidP="00337E59">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Reduction of the parties’ costs as well as the parties’ tie involvement is also another of the strengths of the court-annexed mediation process. Parties spend little compared to if the case goes through the litigation process that may take up to years before resolution is arrived at. This means less time and money spent. Some of the advantages of this process were outlined by the former Chief justice Tun Zaki Azmi as follows:</w:t>
      </w:r>
    </w:p>
    <w:p w14:paraId="7EF1682A" w14:textId="77777777" w:rsidR="0040793A" w:rsidRPr="0040793A" w:rsidRDefault="0040793A" w:rsidP="0037074D">
      <w:pPr>
        <w:numPr>
          <w:ilvl w:val="0"/>
          <w:numId w:val="1"/>
        </w:numPr>
        <w:spacing w:after="200" w:line="360" w:lineRule="auto"/>
        <w:ind w:right="804"/>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The process requires the parties and their counsels to commit to the mediation process as they have no option but to make good use of the time allocated and try to communicate and settle the dispute between them since it is done under the authority of the court.</w:t>
      </w:r>
    </w:p>
    <w:p w14:paraId="0E361DCE" w14:textId="77777777" w:rsidR="0040793A" w:rsidRPr="0040793A" w:rsidRDefault="0040793A" w:rsidP="0037074D">
      <w:pPr>
        <w:numPr>
          <w:ilvl w:val="0"/>
          <w:numId w:val="1"/>
        </w:numPr>
        <w:spacing w:after="200" w:line="360" w:lineRule="auto"/>
        <w:ind w:right="804"/>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 xml:space="preserve">The process helps litigants revise their thinking, reassess the risk of not agreeing and move toward agreement because sometimes, litigants refuse </w:t>
      </w:r>
      <w:r w:rsidRPr="0040793A">
        <w:rPr>
          <w:rFonts w:ascii="Times New Roman" w:eastAsia="Calibri" w:hAnsi="Times New Roman" w:cs="Times New Roman"/>
          <w:sz w:val="24"/>
          <w:szCs w:val="24"/>
          <w:lang w:val="en-MY"/>
        </w:rPr>
        <w:lastRenderedPageBreak/>
        <w:t>to offer settlement for fear that they may have to admit their weaknesses and mistakes in court.</w:t>
      </w:r>
    </w:p>
    <w:p w14:paraId="4D2215C4" w14:textId="77777777" w:rsidR="0040793A" w:rsidRPr="0040793A" w:rsidRDefault="0040793A" w:rsidP="0037074D">
      <w:pPr>
        <w:numPr>
          <w:ilvl w:val="0"/>
          <w:numId w:val="1"/>
        </w:numPr>
        <w:spacing w:after="0" w:line="360" w:lineRule="auto"/>
        <w:ind w:right="804"/>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The process is not limited to what is legally relevant as the parties could discuss wider issues to work out a solution.</w:t>
      </w:r>
      <w:r w:rsidRPr="0040793A">
        <w:rPr>
          <w:rFonts w:ascii="Times New Roman" w:eastAsia="Calibri" w:hAnsi="Times New Roman" w:cs="Times New Roman"/>
          <w:sz w:val="24"/>
          <w:szCs w:val="24"/>
          <w:vertAlign w:val="superscript"/>
          <w:lang w:val="en-MY"/>
        </w:rPr>
        <w:t xml:space="preserve"> </w:t>
      </w:r>
      <w:r w:rsidRPr="0040793A">
        <w:rPr>
          <w:rFonts w:ascii="Times New Roman" w:eastAsia="Calibri" w:hAnsi="Times New Roman" w:cs="Times New Roman"/>
          <w:sz w:val="24"/>
          <w:szCs w:val="24"/>
          <w:vertAlign w:val="superscript"/>
          <w:lang w:val="en-MY"/>
        </w:rPr>
        <w:footnoteReference w:id="50"/>
      </w:r>
    </w:p>
    <w:p w14:paraId="2FA9E74E" w14:textId="77777777" w:rsidR="0040793A" w:rsidRPr="0040793A" w:rsidRDefault="0040793A" w:rsidP="0037074D">
      <w:pPr>
        <w:spacing w:after="0" w:line="360" w:lineRule="auto"/>
        <w:ind w:left="1080" w:right="804"/>
        <w:jc w:val="both"/>
        <w:rPr>
          <w:rFonts w:ascii="Times New Roman" w:eastAsia="Calibri" w:hAnsi="Times New Roman" w:cs="Times New Roman"/>
          <w:sz w:val="24"/>
          <w:szCs w:val="24"/>
          <w:lang w:val="en-MY"/>
        </w:rPr>
      </w:pPr>
    </w:p>
    <w:p w14:paraId="241B72C7" w14:textId="77777777" w:rsidR="0040793A" w:rsidRPr="0040793A" w:rsidRDefault="0040793A" w:rsidP="0037074D">
      <w:pPr>
        <w:spacing w:after="200" w:line="360" w:lineRule="auto"/>
        <w:jc w:val="both"/>
        <w:outlineLvl w:val="2"/>
        <w:rPr>
          <w:rFonts w:ascii="Times New Roman" w:eastAsia="Calibri" w:hAnsi="Times New Roman" w:cs="Times New Roman"/>
          <w:b/>
          <w:bCs/>
          <w:sz w:val="24"/>
          <w:szCs w:val="24"/>
          <w:lang w:val="en-MY"/>
        </w:rPr>
      </w:pPr>
      <w:bookmarkStart w:id="56" w:name="_Toc384074400"/>
      <w:bookmarkStart w:id="57" w:name="_Toc384219404"/>
      <w:bookmarkStart w:id="58" w:name="_Toc384274311"/>
      <w:bookmarkStart w:id="59" w:name="_Toc393166992"/>
      <w:r w:rsidRPr="0040793A">
        <w:rPr>
          <w:rFonts w:ascii="Times New Roman" w:eastAsia="Calibri" w:hAnsi="Times New Roman" w:cs="Times New Roman"/>
          <w:b/>
          <w:bCs/>
          <w:sz w:val="24"/>
          <w:szCs w:val="24"/>
          <w:lang w:val="en-MY"/>
        </w:rPr>
        <w:t xml:space="preserve"> Weaknesses</w:t>
      </w:r>
      <w:bookmarkEnd w:id="56"/>
      <w:bookmarkEnd w:id="57"/>
      <w:bookmarkEnd w:id="58"/>
      <w:bookmarkEnd w:id="59"/>
    </w:p>
    <w:p w14:paraId="4C0F1528" w14:textId="77777777" w:rsidR="0040793A" w:rsidRPr="0040793A" w:rsidRDefault="0040793A" w:rsidP="0037074D">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 xml:space="preserve">The process suffers from some inherent weaknesses as the Act that governs its operation also suffers from some lacunae. The procedure to be followed by the mediators is not explicitly provided for in the Mediation Act 2012. The judge still sits as the mediator in the mediation process. This may hinder the progress of the resolution process as parties will see the process as similar to the court process they were referred from. This is considered as the major weakness of the process of judge-led mediator or court-annexed mediation as it is popularly called. </w:t>
      </w:r>
    </w:p>
    <w:p w14:paraId="79AB89B4" w14:textId="77777777" w:rsidR="00337E59" w:rsidRDefault="00337E59" w:rsidP="00337E59">
      <w:pPr>
        <w:spacing w:after="200" w:line="360" w:lineRule="auto"/>
        <w:jc w:val="both"/>
        <w:rPr>
          <w:rFonts w:ascii="Times New Roman" w:eastAsia="Calibri" w:hAnsi="Times New Roman" w:cs="Times New Roman"/>
          <w:sz w:val="24"/>
          <w:szCs w:val="24"/>
          <w:lang w:val="en-MY"/>
        </w:rPr>
      </w:pPr>
    </w:p>
    <w:p w14:paraId="44CEA6FE" w14:textId="77777777" w:rsidR="0040793A" w:rsidRPr="0040793A" w:rsidRDefault="0040793A" w:rsidP="00337E59">
      <w:pPr>
        <w:spacing w:after="20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Another weakness of this process is that an unreasonable and unwilling party may frustrate and hinder settlement. Such a party will try all means to make sure that the mediation fails so he/she can return to court. So also is the situation where the lawyers representing the parties may not be prepared for mediation and this may be the reason for not arriving at settlement. This causes delay as settlement may eventually not be reached and the litigation process would have to be started afresh as if mediation was never attempted.</w:t>
      </w:r>
    </w:p>
    <w:p w14:paraId="46E927A1" w14:textId="77777777" w:rsidR="0040793A" w:rsidRPr="0040793A" w:rsidRDefault="0040793A" w:rsidP="0037074D">
      <w:pPr>
        <w:spacing w:after="200" w:line="360" w:lineRule="auto"/>
        <w:jc w:val="both"/>
        <w:outlineLvl w:val="2"/>
        <w:rPr>
          <w:rFonts w:ascii="Times New Roman" w:eastAsia="Calibri" w:hAnsi="Times New Roman" w:cs="Times New Roman"/>
          <w:b/>
          <w:bCs/>
          <w:sz w:val="24"/>
          <w:szCs w:val="24"/>
          <w:lang w:val="en-MY"/>
        </w:rPr>
      </w:pPr>
      <w:bookmarkStart w:id="60" w:name="_Toc384074401"/>
      <w:bookmarkStart w:id="61" w:name="_Toc384219405"/>
      <w:bookmarkStart w:id="62" w:name="_Toc384274312"/>
      <w:bookmarkStart w:id="63" w:name="_Toc393166993"/>
      <w:r w:rsidRPr="0040793A">
        <w:rPr>
          <w:rFonts w:ascii="Times New Roman" w:eastAsia="Calibri" w:hAnsi="Times New Roman" w:cs="Times New Roman"/>
          <w:b/>
          <w:bCs/>
          <w:sz w:val="24"/>
          <w:szCs w:val="24"/>
          <w:lang w:val="en-MY"/>
        </w:rPr>
        <w:t xml:space="preserve"> Opportunit</w:t>
      </w:r>
      <w:bookmarkEnd w:id="60"/>
      <w:bookmarkEnd w:id="61"/>
      <w:bookmarkEnd w:id="62"/>
      <w:r w:rsidRPr="0040793A">
        <w:rPr>
          <w:rFonts w:ascii="Times New Roman" w:eastAsia="Calibri" w:hAnsi="Times New Roman" w:cs="Times New Roman"/>
          <w:b/>
          <w:bCs/>
          <w:sz w:val="24"/>
          <w:szCs w:val="24"/>
          <w:lang w:val="en-MY"/>
        </w:rPr>
        <w:t>ies</w:t>
      </w:r>
      <w:bookmarkEnd w:id="63"/>
    </w:p>
    <w:p w14:paraId="79A21EA8" w14:textId="77777777" w:rsidR="0040793A" w:rsidRPr="0040793A" w:rsidRDefault="0040793A" w:rsidP="0037074D">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Court-annexed mediation provides a perfect avenue for creating more time for cases which go to the trial stage or for criminal cases in which mediation is not relevant. It is therefore an opportunity for the court and the judicial system to clear its desk off backlog cases and deal with the more urgent cases. The process can also be used to nip litigation in the bud if properly nurtured and propagated as a culture and thereby reduce the over dependent on the court process especially in the resolution of Islamic finance disputes.</w:t>
      </w:r>
      <w:r w:rsidRPr="0040793A">
        <w:rPr>
          <w:rFonts w:ascii="Times New Roman" w:eastAsia="Calibri" w:hAnsi="Times New Roman" w:cs="Times New Roman"/>
          <w:sz w:val="24"/>
          <w:szCs w:val="24"/>
          <w:vertAlign w:val="superscript"/>
          <w:lang w:val="en-MY"/>
        </w:rPr>
        <w:footnoteReference w:id="51"/>
      </w:r>
    </w:p>
    <w:p w14:paraId="5B7F04B2" w14:textId="77777777" w:rsidR="00337E59" w:rsidRDefault="00337E59" w:rsidP="00337E59">
      <w:pPr>
        <w:spacing w:after="0" w:line="360" w:lineRule="auto"/>
        <w:jc w:val="both"/>
        <w:rPr>
          <w:rFonts w:ascii="Times New Roman" w:eastAsia="Calibri" w:hAnsi="Times New Roman" w:cs="Times New Roman"/>
          <w:sz w:val="24"/>
          <w:szCs w:val="24"/>
        </w:rPr>
      </w:pPr>
    </w:p>
    <w:p w14:paraId="32E40FA2" w14:textId="77777777" w:rsidR="0040793A" w:rsidRDefault="0040793A" w:rsidP="00337E59">
      <w:pPr>
        <w:spacing w:after="0" w:line="360" w:lineRule="auto"/>
        <w:jc w:val="both"/>
        <w:rPr>
          <w:rFonts w:ascii="Times New Roman" w:eastAsia="Calibri" w:hAnsi="Times New Roman" w:cs="Times New Roman"/>
          <w:sz w:val="24"/>
          <w:szCs w:val="24"/>
        </w:rPr>
      </w:pPr>
      <w:r w:rsidRPr="0040793A">
        <w:rPr>
          <w:rFonts w:ascii="Times New Roman" w:eastAsia="Calibri" w:hAnsi="Times New Roman" w:cs="Times New Roman"/>
          <w:sz w:val="24"/>
          <w:szCs w:val="24"/>
        </w:rPr>
        <w:t>In the realm of resolving Islamic finance disputes, the court-ordered mediation provides an ample opportunity for the speedy trial of these disputes without going through the rigorous process of litigation. It assists in resolving pre-litigation disputes. This also helps to preserve the on-going relationship between the customer and the bank that is otherwise prone to be damaged if the disputes get resolved through the court process. It also improves the disputants’ capacity to resolve future disputes and also assist the customer and the bank to learn to work together. The process creates a great opportunity to the Islamic finance industry as parties become less litigious and thereby enhances the individual well-being as well as community harmony. This invariably means more development and attraction of investors into the industry.</w:t>
      </w:r>
    </w:p>
    <w:p w14:paraId="72389410" w14:textId="77777777" w:rsidR="0040793A" w:rsidRPr="0040793A" w:rsidRDefault="0040793A" w:rsidP="0030131A">
      <w:pPr>
        <w:spacing w:after="0" w:line="360" w:lineRule="auto"/>
        <w:jc w:val="both"/>
        <w:rPr>
          <w:rFonts w:ascii="Times New Roman" w:eastAsia="Calibri" w:hAnsi="Times New Roman" w:cs="Times New Roman"/>
          <w:sz w:val="24"/>
          <w:szCs w:val="24"/>
        </w:rPr>
      </w:pPr>
    </w:p>
    <w:p w14:paraId="7F951E53" w14:textId="77777777" w:rsidR="0040793A" w:rsidRPr="0040793A" w:rsidRDefault="0040793A" w:rsidP="0037074D">
      <w:pPr>
        <w:spacing w:after="200" w:line="360" w:lineRule="auto"/>
        <w:jc w:val="both"/>
        <w:outlineLvl w:val="2"/>
        <w:rPr>
          <w:rFonts w:ascii="Times New Roman" w:eastAsia="Calibri" w:hAnsi="Times New Roman" w:cs="Times New Roman"/>
          <w:b/>
          <w:bCs/>
          <w:sz w:val="24"/>
          <w:szCs w:val="24"/>
          <w:lang w:val="en-MY"/>
        </w:rPr>
      </w:pPr>
      <w:bookmarkStart w:id="64" w:name="_Toc384074402"/>
      <w:bookmarkStart w:id="65" w:name="_Toc384219406"/>
      <w:bookmarkStart w:id="66" w:name="_Toc384274313"/>
      <w:bookmarkStart w:id="67" w:name="_Toc393166994"/>
      <w:r w:rsidRPr="0040793A">
        <w:rPr>
          <w:rFonts w:ascii="Times New Roman" w:eastAsia="Calibri" w:hAnsi="Times New Roman" w:cs="Times New Roman"/>
          <w:b/>
          <w:bCs/>
          <w:sz w:val="24"/>
          <w:szCs w:val="24"/>
          <w:lang w:val="en-MY"/>
        </w:rPr>
        <w:t>Threats</w:t>
      </w:r>
      <w:bookmarkEnd w:id="64"/>
      <w:bookmarkEnd w:id="65"/>
      <w:bookmarkEnd w:id="66"/>
      <w:bookmarkEnd w:id="67"/>
    </w:p>
    <w:p w14:paraId="16B94161" w14:textId="77777777" w:rsidR="0040793A" w:rsidRPr="0040793A" w:rsidRDefault="0040793A" w:rsidP="0037074D">
      <w:pPr>
        <w:spacing w:after="0" w:line="360" w:lineRule="auto"/>
        <w:jc w:val="both"/>
        <w:rPr>
          <w:rFonts w:ascii="Times New Roman" w:eastAsia="Calibri" w:hAnsi="Times New Roman" w:cs="Times New Roman"/>
          <w:sz w:val="24"/>
          <w:szCs w:val="24"/>
        </w:rPr>
      </w:pPr>
      <w:r w:rsidRPr="0040793A">
        <w:rPr>
          <w:rFonts w:ascii="Times New Roman" w:eastAsia="Calibri" w:hAnsi="Times New Roman" w:cs="Times New Roman"/>
          <w:sz w:val="24"/>
          <w:szCs w:val="24"/>
          <w:lang w:val="en-MY"/>
        </w:rPr>
        <w:t xml:space="preserve">One major threat posed by the use of this mechanism in resolving Islamic finance disputes is the fear of loss of income by lawyers. Lawyers become unnecessarily apprehensive of the process of court-annexed mediation because they feel their fees will reduce considerably, </w:t>
      </w:r>
      <w:r w:rsidRPr="0040793A">
        <w:rPr>
          <w:rFonts w:ascii="Times New Roman" w:eastAsia="Calibri" w:hAnsi="Times New Roman" w:cs="Times New Roman"/>
          <w:sz w:val="24"/>
          <w:szCs w:val="24"/>
        </w:rPr>
        <w:t xml:space="preserve">hence they do not support the process and could be incidental to the parties not accepting to mediate or making it a failure. This is a real threat to the successful use of the process in the resolution of disputes in the Islamic finance industry here in Malaysia. This is a major and worrisome threat because these lawyers are involved right from the onset as the mediation is a court ordered one and so the parties already have intended to proceed with litigation.  </w:t>
      </w:r>
    </w:p>
    <w:p w14:paraId="5C0DD704" w14:textId="77777777" w:rsidR="00337E59" w:rsidRDefault="00337E59" w:rsidP="00337E59">
      <w:pPr>
        <w:spacing w:after="0" w:line="360" w:lineRule="auto"/>
        <w:jc w:val="both"/>
        <w:rPr>
          <w:rFonts w:ascii="Times New Roman" w:eastAsia="Calibri" w:hAnsi="Times New Roman" w:cs="Times New Roman"/>
          <w:sz w:val="24"/>
          <w:szCs w:val="24"/>
          <w:lang w:val="en-MY"/>
        </w:rPr>
      </w:pPr>
    </w:p>
    <w:p w14:paraId="19FE97D0" w14:textId="77777777" w:rsidR="0040793A" w:rsidRPr="0040793A" w:rsidRDefault="0040793A" w:rsidP="00337E59">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Parties are not bound to accept the direction given by the judge to</w:t>
      </w:r>
      <w:r w:rsidR="0030131A">
        <w:rPr>
          <w:rFonts w:ascii="Times New Roman" w:eastAsia="Calibri" w:hAnsi="Times New Roman" w:cs="Times New Roman"/>
          <w:sz w:val="24"/>
          <w:szCs w:val="24"/>
          <w:lang w:val="en-MY"/>
        </w:rPr>
        <w:t xml:space="preserve"> refer their case for mediation, </w:t>
      </w:r>
      <w:r w:rsidRPr="0040793A">
        <w:rPr>
          <w:rFonts w:ascii="Times New Roman" w:eastAsia="Calibri" w:hAnsi="Times New Roman" w:cs="Times New Roman"/>
          <w:sz w:val="24"/>
          <w:szCs w:val="24"/>
          <w:lang w:val="en-MY"/>
        </w:rPr>
        <w:t xml:space="preserve">they can do this by simply giving reasons and the court cannot force them to mediate. This is a corollary from the above mentioned threat. If the parties’ lawyers advise them against using the process and they accept not to use it, the court is powerless and must not force them to go on with the process. Thus, this is a threat to the use of the court-annexed or court-ordered mediation by the disputing parties.  </w:t>
      </w:r>
    </w:p>
    <w:p w14:paraId="5712B47E" w14:textId="77777777" w:rsidR="00337E59" w:rsidRDefault="00337E59" w:rsidP="00337E59">
      <w:pPr>
        <w:spacing w:after="0" w:line="360" w:lineRule="auto"/>
        <w:jc w:val="both"/>
        <w:rPr>
          <w:rFonts w:ascii="Times New Roman" w:eastAsia="Calibri" w:hAnsi="Times New Roman" w:cs="Times New Roman"/>
          <w:sz w:val="24"/>
          <w:szCs w:val="24"/>
          <w:lang w:val="en-MY"/>
        </w:rPr>
      </w:pPr>
    </w:p>
    <w:p w14:paraId="03A32CE1" w14:textId="77777777" w:rsidR="0040793A" w:rsidRPr="0040793A" w:rsidRDefault="0040793A" w:rsidP="00337E59">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Another threat to the full development of the court-annexed mediation is the concern made in some quarters that when the court directs parties to refer an action to the KLCMC for mediation, the court is abdicating the function of the court under the Federal Constitution.</w:t>
      </w:r>
      <w:r w:rsidRPr="0040793A">
        <w:rPr>
          <w:rFonts w:ascii="Times New Roman" w:eastAsia="Calibri" w:hAnsi="Times New Roman" w:cs="Times New Roman"/>
          <w:sz w:val="24"/>
          <w:szCs w:val="24"/>
          <w:vertAlign w:val="superscript"/>
          <w:lang w:val="en-MY"/>
        </w:rPr>
        <w:footnoteReference w:id="52"/>
      </w:r>
      <w:r w:rsidRPr="0040793A">
        <w:rPr>
          <w:rFonts w:ascii="Times New Roman" w:eastAsia="Calibri" w:hAnsi="Times New Roman" w:cs="Times New Roman"/>
          <w:sz w:val="24"/>
          <w:szCs w:val="24"/>
          <w:lang w:val="en-MY"/>
        </w:rPr>
        <w:t xml:space="preserve"> </w:t>
      </w:r>
      <w:r w:rsidRPr="0040793A">
        <w:rPr>
          <w:rFonts w:ascii="Times New Roman" w:eastAsia="Calibri" w:hAnsi="Times New Roman" w:cs="Times New Roman"/>
          <w:sz w:val="24"/>
          <w:szCs w:val="24"/>
          <w:lang w:val="en-MY"/>
        </w:rPr>
        <w:lastRenderedPageBreak/>
        <w:t>This seems out of place but it can serve as a threat to the full development and operation of the court-annexed mediation in Malaysia. The general perception held by most that the mediator is "part of the Court system" is another major threat to the process. This has the potential to destroy, if not prejudicially affect, the trust and candour which is paramount for a successful mediation, especially in the nature of Islamic finance disputes.</w:t>
      </w:r>
      <w:r w:rsidRPr="0040793A">
        <w:rPr>
          <w:rFonts w:ascii="Times New Roman" w:eastAsia="Calibri" w:hAnsi="Times New Roman" w:cs="Times New Roman"/>
          <w:sz w:val="24"/>
          <w:szCs w:val="24"/>
          <w:vertAlign w:val="superscript"/>
          <w:lang w:val="en-MY"/>
        </w:rPr>
        <w:footnoteReference w:id="53"/>
      </w:r>
    </w:p>
    <w:p w14:paraId="25FD64D1" w14:textId="77777777" w:rsidR="0040793A" w:rsidRPr="0040793A" w:rsidRDefault="0040793A" w:rsidP="0037074D">
      <w:pPr>
        <w:spacing w:after="20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noProof/>
          <w:sz w:val="24"/>
          <w:szCs w:val="24"/>
          <w:lang w:eastAsia="en-GB"/>
        </w:rPr>
        <w:drawing>
          <wp:inline distT="0" distB="0" distL="0" distR="0" wp14:anchorId="7CD5B6C8" wp14:editId="2DD211B1">
            <wp:extent cx="5484495" cy="3943350"/>
            <wp:effectExtent l="0" t="0" r="20955" b="19050"/>
            <wp:docPr id="8" name="Diagram 8"/>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05117ECB" w14:textId="77777777" w:rsidR="0040793A" w:rsidRPr="0040793A" w:rsidRDefault="00047CDD" w:rsidP="0030131A">
      <w:pPr>
        <w:spacing w:after="200" w:line="360" w:lineRule="auto"/>
        <w:jc w:val="center"/>
        <w:rPr>
          <w:rFonts w:ascii="Times New Roman" w:eastAsia="Calibri" w:hAnsi="Times New Roman" w:cs="Times New Roman"/>
          <w:sz w:val="24"/>
          <w:szCs w:val="24"/>
          <w:lang w:val="en-MY"/>
        </w:rPr>
      </w:pPr>
      <w:r>
        <w:rPr>
          <w:rFonts w:ascii="Times New Roman" w:eastAsia="Calibri" w:hAnsi="Times New Roman" w:cs="Times New Roman"/>
          <w:sz w:val="24"/>
          <w:szCs w:val="24"/>
          <w:lang w:val="en-MY"/>
        </w:rPr>
        <w:t xml:space="preserve">Figure 3 </w:t>
      </w:r>
      <w:r w:rsidR="0040793A" w:rsidRPr="0040793A">
        <w:rPr>
          <w:rFonts w:ascii="Times New Roman" w:eastAsia="Calibri" w:hAnsi="Times New Roman" w:cs="Times New Roman"/>
          <w:sz w:val="24"/>
          <w:szCs w:val="24"/>
          <w:lang w:val="en-MY"/>
        </w:rPr>
        <w:t>SWOT Analysis on Court-Annexed Mediation</w:t>
      </w:r>
    </w:p>
    <w:p w14:paraId="0B39F58F" w14:textId="77777777" w:rsidR="0040793A" w:rsidRPr="0040793A" w:rsidRDefault="0040793A" w:rsidP="0037074D">
      <w:pPr>
        <w:spacing w:after="200" w:line="360" w:lineRule="auto"/>
        <w:jc w:val="both"/>
        <w:outlineLvl w:val="1"/>
        <w:rPr>
          <w:rFonts w:ascii="Times New Roman" w:eastAsia="Calibri" w:hAnsi="Times New Roman" w:cs="Times New Roman"/>
          <w:b/>
          <w:sz w:val="24"/>
          <w:szCs w:val="24"/>
        </w:rPr>
      </w:pPr>
      <w:bookmarkStart w:id="68" w:name="_Toc384074403"/>
      <w:bookmarkStart w:id="69" w:name="_Toc384219407"/>
      <w:bookmarkStart w:id="70" w:name="_Toc384274314"/>
      <w:bookmarkStart w:id="71" w:name="_Toc393166995"/>
      <w:r w:rsidRPr="0040793A">
        <w:rPr>
          <w:rFonts w:ascii="Times New Roman" w:eastAsia="Calibri" w:hAnsi="Times New Roman" w:cs="Times New Roman"/>
          <w:b/>
          <w:sz w:val="24"/>
          <w:szCs w:val="24"/>
        </w:rPr>
        <w:t>MEDIATION</w:t>
      </w:r>
      <w:bookmarkEnd w:id="68"/>
      <w:bookmarkEnd w:id="69"/>
      <w:bookmarkEnd w:id="70"/>
      <w:r w:rsidRPr="0040793A">
        <w:rPr>
          <w:rFonts w:ascii="Times New Roman" w:eastAsia="Calibri" w:hAnsi="Times New Roman" w:cs="Times New Roman"/>
          <w:b/>
          <w:sz w:val="24"/>
          <w:szCs w:val="24"/>
        </w:rPr>
        <w:t>/ADJUDICATION (FMB)</w:t>
      </w:r>
      <w:bookmarkEnd w:id="71"/>
    </w:p>
    <w:p w14:paraId="498E3130" w14:textId="77777777" w:rsidR="0040793A" w:rsidRPr="0040793A" w:rsidRDefault="0040793A" w:rsidP="0037074D">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Mediation under the auspices of the FMB is a facilitative process through which parties through a mediator attempt to arrive at a mutually agreed resolution to their dispute.</w:t>
      </w:r>
      <w:r w:rsidRPr="0040793A">
        <w:rPr>
          <w:rFonts w:ascii="Times New Roman" w:eastAsia="Calibri" w:hAnsi="Times New Roman" w:cs="Times New Roman"/>
          <w:sz w:val="24"/>
          <w:szCs w:val="24"/>
          <w:vertAlign w:val="superscript"/>
          <w:lang w:val="en-MY"/>
        </w:rPr>
        <w:footnoteReference w:id="54"/>
      </w:r>
      <w:r w:rsidRPr="0040793A">
        <w:rPr>
          <w:rFonts w:ascii="Times New Roman" w:eastAsia="Calibri" w:hAnsi="Times New Roman" w:cs="Times New Roman"/>
          <w:sz w:val="24"/>
          <w:szCs w:val="24"/>
          <w:lang w:val="en-MY"/>
        </w:rPr>
        <w:t xml:space="preserve"> The bureau combines its investigative role (deal with public complaints against administrative injustice) with its mediatory and adjudicatory role in order to come within the ambit of ADR. Financial institutions in Malaysia like the Islamic banks, commercial banks, merchant banks, </w:t>
      </w:r>
      <w:r w:rsidRPr="0040793A">
        <w:rPr>
          <w:rFonts w:ascii="Times New Roman" w:eastAsia="Calibri" w:hAnsi="Times New Roman" w:cs="Times New Roman"/>
          <w:i/>
          <w:sz w:val="24"/>
          <w:szCs w:val="24"/>
        </w:rPr>
        <w:t>takāful</w:t>
      </w:r>
      <w:r w:rsidRPr="0040793A">
        <w:rPr>
          <w:rFonts w:ascii="Times New Roman" w:eastAsia="Calibri" w:hAnsi="Times New Roman" w:cs="Times New Roman"/>
          <w:i/>
          <w:iCs/>
          <w:sz w:val="24"/>
          <w:szCs w:val="24"/>
          <w:lang w:val="en-MY"/>
        </w:rPr>
        <w:t xml:space="preserve"> </w:t>
      </w:r>
      <w:r w:rsidRPr="0040793A">
        <w:rPr>
          <w:rFonts w:ascii="Times New Roman" w:eastAsia="Calibri" w:hAnsi="Times New Roman" w:cs="Times New Roman"/>
          <w:sz w:val="24"/>
          <w:szCs w:val="24"/>
          <w:lang w:val="en-MY"/>
        </w:rPr>
        <w:t xml:space="preserve">operators, finance companies, insurance companies, and card issuers are the members of the </w:t>
      </w:r>
      <w:r w:rsidRPr="0040793A">
        <w:rPr>
          <w:rFonts w:ascii="Times New Roman" w:eastAsia="Calibri" w:hAnsi="Times New Roman" w:cs="Times New Roman"/>
          <w:sz w:val="24"/>
          <w:szCs w:val="24"/>
          <w:lang w:val="en-MY"/>
        </w:rPr>
        <w:lastRenderedPageBreak/>
        <w:t>bureau.</w:t>
      </w:r>
      <w:r w:rsidRPr="0040793A">
        <w:rPr>
          <w:rFonts w:ascii="Times New Roman" w:eastAsia="Calibri" w:hAnsi="Times New Roman" w:cs="Times New Roman"/>
          <w:sz w:val="24"/>
          <w:szCs w:val="24"/>
          <w:vertAlign w:val="superscript"/>
          <w:lang w:val="en-MY"/>
        </w:rPr>
        <w:footnoteReference w:id="55"/>
      </w:r>
      <w:r w:rsidRPr="0040793A">
        <w:rPr>
          <w:rFonts w:ascii="Times New Roman" w:eastAsia="Calibri" w:hAnsi="Times New Roman" w:cs="Times New Roman"/>
          <w:sz w:val="24"/>
          <w:szCs w:val="24"/>
          <w:lang w:val="en-MY"/>
        </w:rPr>
        <w:t xml:space="preserve"> The main purpose of establishing the bureau is to provide consumer protection to customers of banks by providing a forum for quick and informal resolution of disputes between bankers and customers. Disputes relating to loans, Automated Teller Machine (ATM), cash deposit machine, credit/charge card, hire purchase agreement, account related disputes (savings, current, fixed deposit, and general/special/specific investment account), internet banking and </w:t>
      </w:r>
      <w:r w:rsidRPr="0040793A">
        <w:rPr>
          <w:rFonts w:ascii="Times New Roman" w:eastAsia="Calibri" w:hAnsi="Times New Roman" w:cs="Times New Roman"/>
          <w:i/>
          <w:sz w:val="24"/>
          <w:szCs w:val="24"/>
        </w:rPr>
        <w:t>takāful</w:t>
      </w:r>
      <w:r w:rsidRPr="0040793A">
        <w:rPr>
          <w:rFonts w:ascii="Times New Roman" w:eastAsia="Calibri" w:hAnsi="Times New Roman" w:cs="Times New Roman"/>
          <w:i/>
          <w:iCs/>
          <w:sz w:val="24"/>
          <w:szCs w:val="24"/>
          <w:lang w:val="en-MY"/>
        </w:rPr>
        <w:t xml:space="preserve"> </w:t>
      </w:r>
      <w:r w:rsidRPr="0040793A">
        <w:rPr>
          <w:rFonts w:ascii="Times New Roman" w:eastAsia="Calibri" w:hAnsi="Times New Roman" w:cs="Times New Roman"/>
          <w:sz w:val="24"/>
          <w:szCs w:val="24"/>
          <w:lang w:val="en-MY"/>
        </w:rPr>
        <w:t>related disputes. Its free services is only extended to customers whose banks are its members. This is more like a hybrid process of mediation and adjudication. After investigating the matter referred to it, a mediator is expected to make a decision on the dispute referred to it.</w:t>
      </w:r>
      <w:r w:rsidRPr="0040793A">
        <w:rPr>
          <w:rFonts w:ascii="Times New Roman" w:eastAsia="Calibri" w:hAnsi="Times New Roman" w:cs="Times New Roman"/>
          <w:color w:val="FF0000"/>
          <w:sz w:val="24"/>
          <w:szCs w:val="24"/>
          <w:lang w:val="en-MY"/>
        </w:rPr>
        <w:t xml:space="preserve"> </w:t>
      </w:r>
      <w:r w:rsidRPr="0040793A">
        <w:rPr>
          <w:rFonts w:ascii="Times New Roman" w:eastAsia="Calibri" w:hAnsi="Times New Roman" w:cs="Times New Roman"/>
          <w:sz w:val="24"/>
          <w:szCs w:val="24"/>
          <w:lang w:val="en-MY"/>
        </w:rPr>
        <w:t>The bureau usually appoints a mediator who is given the power and function to attend to complaints and disputes referred to it by parties. His decision is however only binding on its members i.e. the institutions and not on the complainant. Therefore, if the customer is not satisfied with the decision made by the mediator, he can proceed to initiate legal action or arbitration.</w:t>
      </w:r>
      <w:r w:rsidRPr="0040793A">
        <w:rPr>
          <w:rFonts w:ascii="Times New Roman" w:eastAsia="Calibri" w:hAnsi="Times New Roman" w:cs="Times New Roman"/>
          <w:sz w:val="24"/>
          <w:szCs w:val="24"/>
          <w:vertAlign w:val="superscript"/>
          <w:lang w:val="en-MY"/>
        </w:rPr>
        <w:footnoteReference w:id="56"/>
      </w:r>
      <w:r w:rsidRPr="0040793A">
        <w:rPr>
          <w:rFonts w:ascii="Times New Roman" w:eastAsia="Calibri" w:hAnsi="Times New Roman" w:cs="Times New Roman"/>
          <w:sz w:val="24"/>
          <w:szCs w:val="24"/>
          <w:lang w:val="en-MY"/>
        </w:rPr>
        <w:t xml:space="preserve"> </w:t>
      </w:r>
    </w:p>
    <w:p w14:paraId="6F01C7CA" w14:textId="77777777" w:rsidR="0040793A" w:rsidRPr="0040793A" w:rsidRDefault="0040793A" w:rsidP="0037074D">
      <w:pPr>
        <w:spacing w:after="0" w:line="360" w:lineRule="auto"/>
        <w:jc w:val="both"/>
        <w:rPr>
          <w:rFonts w:ascii="Times New Roman" w:eastAsia="Calibri" w:hAnsi="Times New Roman" w:cs="Times New Roman"/>
          <w:sz w:val="24"/>
          <w:szCs w:val="24"/>
          <w:lang w:val="en-MY"/>
        </w:rPr>
      </w:pPr>
    </w:p>
    <w:p w14:paraId="325A89EB" w14:textId="77777777" w:rsidR="0040793A" w:rsidRPr="0040793A" w:rsidRDefault="0040793A" w:rsidP="0037074D">
      <w:pPr>
        <w:spacing w:after="200" w:line="360" w:lineRule="auto"/>
        <w:jc w:val="both"/>
        <w:outlineLvl w:val="2"/>
        <w:rPr>
          <w:rFonts w:ascii="Times New Roman" w:eastAsia="Calibri" w:hAnsi="Times New Roman" w:cs="Times New Roman"/>
          <w:b/>
          <w:bCs/>
          <w:sz w:val="24"/>
          <w:szCs w:val="24"/>
          <w:lang w:val="en-MY"/>
        </w:rPr>
      </w:pPr>
      <w:bookmarkStart w:id="72" w:name="_Toc384074404"/>
      <w:bookmarkStart w:id="73" w:name="_Toc384219408"/>
      <w:bookmarkStart w:id="74" w:name="_Toc384274315"/>
      <w:bookmarkStart w:id="75" w:name="_Toc393166996"/>
      <w:r w:rsidRPr="0040793A">
        <w:rPr>
          <w:rFonts w:ascii="Times New Roman" w:eastAsia="Calibri" w:hAnsi="Times New Roman" w:cs="Times New Roman"/>
          <w:b/>
          <w:bCs/>
          <w:sz w:val="24"/>
          <w:szCs w:val="24"/>
          <w:lang w:val="en-MY"/>
        </w:rPr>
        <w:t>Strengths</w:t>
      </w:r>
      <w:bookmarkEnd w:id="72"/>
      <w:bookmarkEnd w:id="73"/>
      <w:bookmarkEnd w:id="74"/>
      <w:bookmarkEnd w:id="75"/>
    </w:p>
    <w:p w14:paraId="5669C7D3" w14:textId="77777777" w:rsidR="0040793A" w:rsidRPr="0040793A" w:rsidRDefault="0040793A" w:rsidP="00337E59">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 xml:space="preserve">One of the strengths of using this process to resolve Islamic finance dispute is that no fee is charged against the customers and as such it can be said to be really cost effective.. Customers who are aggrieved in one way or the other by the action or inaction of their bank will find the process convenient to settle their dispute instead of the costly court process that will amount to hiring lawyers and paying huge fees. Here, no lawyer is needed and no fee is to be paid.  Also, the decision of the mediator is binding on the Financial Service Provider (FSP). This makes the process a result-oriented process and this goes a long way in seeing that the disputes between the parties get resolved. The bank cannot refuse to abide by whatever decision is made by the mediator even if its affects it negatively. This is because the FMB was established by the FSP and they have agreed in their Memorandum and Articles of Association that they shall be bound by whatever decision the bureau makes. Here lies the strength of the process. </w:t>
      </w:r>
    </w:p>
    <w:p w14:paraId="3323C01F" w14:textId="77777777" w:rsidR="00337E59" w:rsidRDefault="00337E59" w:rsidP="00337E59">
      <w:pPr>
        <w:spacing w:after="0" w:line="360" w:lineRule="auto"/>
        <w:jc w:val="both"/>
        <w:rPr>
          <w:rFonts w:ascii="Times New Roman" w:eastAsia="Calibri" w:hAnsi="Times New Roman" w:cs="Times New Roman"/>
          <w:sz w:val="24"/>
          <w:szCs w:val="24"/>
          <w:lang w:val="en-MY"/>
        </w:rPr>
      </w:pPr>
    </w:p>
    <w:p w14:paraId="7D8E3043" w14:textId="77777777" w:rsidR="0040793A" w:rsidRPr="0040793A" w:rsidRDefault="0040793A" w:rsidP="00337E59">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 xml:space="preserve">Efficient and effective dispute resolution forum against any financial institution, be it a bank, insurance company or finance house is part of the strengths of the mechanism. It is equally fast and convenient as the mediation process is to be completed within three (3) months of the </w:t>
      </w:r>
      <w:r w:rsidRPr="0040793A">
        <w:rPr>
          <w:rFonts w:ascii="Times New Roman" w:eastAsia="Calibri" w:hAnsi="Times New Roman" w:cs="Times New Roman"/>
          <w:sz w:val="24"/>
          <w:szCs w:val="24"/>
          <w:lang w:val="en-MY"/>
        </w:rPr>
        <w:lastRenderedPageBreak/>
        <w:t>receipt of the complaint, which makes mediation at the centre cost effective and convenient for any financial dispute and greatly reduces long outstanding exposure to bad debt or false claim by certain parties.</w:t>
      </w:r>
      <w:r w:rsidRPr="0040793A">
        <w:rPr>
          <w:rFonts w:ascii="Times New Roman" w:eastAsia="Calibri" w:hAnsi="Times New Roman" w:cs="Times New Roman"/>
          <w:sz w:val="24"/>
          <w:szCs w:val="24"/>
          <w:vertAlign w:val="superscript"/>
          <w:lang w:val="en-MY"/>
        </w:rPr>
        <w:footnoteReference w:id="57"/>
      </w:r>
      <w:r w:rsidRPr="0040793A">
        <w:rPr>
          <w:rFonts w:ascii="Times New Roman" w:eastAsia="Calibri" w:hAnsi="Times New Roman" w:cs="Times New Roman"/>
          <w:sz w:val="24"/>
          <w:szCs w:val="24"/>
          <w:lang w:val="en-MY"/>
        </w:rPr>
        <w:t>Mediator sets the field for amicable resolution of the dispute but if this fails then he makes an award through adjudication. He encourages communication between the parties and helps them explore the option of settlement.</w:t>
      </w:r>
    </w:p>
    <w:p w14:paraId="52DE73B9" w14:textId="77777777" w:rsidR="00337E59" w:rsidRDefault="00337E59" w:rsidP="00337E59">
      <w:pPr>
        <w:spacing w:after="0" w:line="360" w:lineRule="auto"/>
        <w:jc w:val="both"/>
        <w:rPr>
          <w:rFonts w:ascii="Times New Roman" w:eastAsia="Calibri" w:hAnsi="Times New Roman" w:cs="Times New Roman"/>
          <w:sz w:val="24"/>
          <w:szCs w:val="24"/>
          <w:lang w:val="en-MY"/>
        </w:rPr>
      </w:pPr>
    </w:p>
    <w:p w14:paraId="3B0A63F0" w14:textId="77777777" w:rsidR="0040793A" w:rsidRPr="0040793A" w:rsidRDefault="0040793A" w:rsidP="00337E59">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The process is based on the “Ombudsman system of the United Kingdom”.</w:t>
      </w:r>
      <w:r w:rsidRPr="0040793A">
        <w:rPr>
          <w:rFonts w:ascii="Times New Roman" w:eastAsia="Calibri" w:hAnsi="Times New Roman" w:cs="Times New Roman"/>
          <w:sz w:val="24"/>
          <w:szCs w:val="24"/>
          <w:vertAlign w:val="superscript"/>
          <w:lang w:val="en-MY"/>
        </w:rPr>
        <w:footnoteReference w:id="58"/>
      </w:r>
      <w:r w:rsidRPr="0040793A">
        <w:rPr>
          <w:rFonts w:ascii="Times New Roman" w:eastAsia="Calibri" w:hAnsi="Times New Roman" w:cs="Times New Roman"/>
          <w:sz w:val="24"/>
          <w:szCs w:val="24"/>
          <w:lang w:val="en-MY"/>
        </w:rPr>
        <w:t xml:space="preserve"> The Memorandum and Articles of Association provide that the mediator can change the proceedings into that which allows the mediator to resolve the issue by making a decision (i.e. award) in the form of adjudication. The decision will be based on the investigation, industry policies and practices and the relevant law if any, which is applicable. The entire process is confidential and all meetings are conducted in a respectful, friendly and polite atmosphere.</w:t>
      </w:r>
      <w:r w:rsidRPr="0040793A">
        <w:rPr>
          <w:rFonts w:ascii="Times New Roman" w:eastAsia="Calibri" w:hAnsi="Times New Roman" w:cs="Times New Roman"/>
          <w:sz w:val="24"/>
          <w:szCs w:val="24"/>
          <w:vertAlign w:val="superscript"/>
          <w:lang w:val="en-MY"/>
        </w:rPr>
        <w:footnoteReference w:id="59"/>
      </w:r>
      <w:r w:rsidRPr="0040793A">
        <w:rPr>
          <w:rFonts w:ascii="Times New Roman" w:eastAsia="Calibri" w:hAnsi="Times New Roman" w:cs="Times New Roman"/>
          <w:sz w:val="24"/>
          <w:szCs w:val="24"/>
          <w:lang w:val="en-MY"/>
        </w:rPr>
        <w:t xml:space="preserve"> Unless the parties specifically authorize disclosure, statements and documents of the parties are not disclosed to anyone, even to the parties. The mediators are appointed and removed by the board of directors to avoid the possibility of biasness or being influenced to make an award by reason of the members’ power to remove him or her. </w:t>
      </w:r>
      <w:bookmarkStart w:id="76" w:name="_Toc384074405"/>
      <w:bookmarkStart w:id="77" w:name="_Toc384219409"/>
      <w:bookmarkStart w:id="78" w:name="_Toc384274316"/>
      <w:bookmarkStart w:id="79" w:name="_Toc393166997"/>
    </w:p>
    <w:p w14:paraId="18A8BEF7" w14:textId="77777777" w:rsidR="0040793A" w:rsidRPr="0040793A" w:rsidRDefault="0040793A" w:rsidP="0037074D">
      <w:pPr>
        <w:spacing w:after="0" w:line="360" w:lineRule="auto"/>
        <w:ind w:firstLine="720"/>
        <w:jc w:val="both"/>
        <w:rPr>
          <w:rFonts w:ascii="Times New Roman" w:eastAsia="Calibri" w:hAnsi="Times New Roman" w:cs="Times New Roman"/>
          <w:sz w:val="24"/>
          <w:szCs w:val="24"/>
          <w:lang w:val="en-MY"/>
        </w:rPr>
      </w:pPr>
    </w:p>
    <w:p w14:paraId="1CB2B5DE" w14:textId="77777777" w:rsidR="0040793A" w:rsidRPr="0040793A" w:rsidRDefault="0040793A" w:rsidP="0037074D">
      <w:pPr>
        <w:spacing w:after="200" w:line="360" w:lineRule="auto"/>
        <w:jc w:val="both"/>
        <w:outlineLvl w:val="2"/>
        <w:rPr>
          <w:rFonts w:ascii="Times New Roman" w:eastAsia="Calibri" w:hAnsi="Times New Roman" w:cs="Times New Roman"/>
          <w:b/>
          <w:bCs/>
          <w:sz w:val="24"/>
          <w:szCs w:val="24"/>
          <w:lang w:val="en-MY"/>
        </w:rPr>
      </w:pPr>
      <w:r w:rsidRPr="0040793A">
        <w:rPr>
          <w:rFonts w:ascii="Times New Roman" w:eastAsia="Calibri" w:hAnsi="Times New Roman" w:cs="Times New Roman"/>
          <w:b/>
          <w:bCs/>
          <w:sz w:val="24"/>
          <w:szCs w:val="24"/>
          <w:lang w:val="en-MY"/>
        </w:rPr>
        <w:t>Weaknesses</w:t>
      </w:r>
      <w:bookmarkEnd w:id="76"/>
      <w:bookmarkEnd w:id="77"/>
      <w:bookmarkEnd w:id="78"/>
      <w:bookmarkEnd w:id="79"/>
    </w:p>
    <w:p w14:paraId="0EF7B89A" w14:textId="77777777" w:rsidR="0040793A" w:rsidRPr="0040793A" w:rsidRDefault="0040793A" w:rsidP="00337E59">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The most prominent weakness of this process is that the existing bureau is not suitable for the resolution of Islamic finance dispute because the mediators are not experts in Islamic finance. Therefore the process of mediation under the auspices of this bureau is akin to the court process where non-experts in Islamic finance sit as judges over the cases.</w:t>
      </w:r>
      <w:r w:rsidR="00337E59">
        <w:rPr>
          <w:rFonts w:ascii="Times New Roman" w:eastAsia="Calibri" w:hAnsi="Times New Roman" w:cs="Times New Roman"/>
          <w:sz w:val="24"/>
          <w:szCs w:val="24"/>
          <w:lang w:val="en-MY"/>
        </w:rPr>
        <w:t xml:space="preserve"> </w:t>
      </w:r>
      <w:r w:rsidRPr="0040793A">
        <w:rPr>
          <w:rFonts w:ascii="Times New Roman" w:eastAsia="Calibri" w:hAnsi="Times New Roman" w:cs="Times New Roman"/>
          <w:sz w:val="24"/>
          <w:szCs w:val="24"/>
          <w:lang w:val="en-MY"/>
        </w:rPr>
        <w:t>Also, the decision made by the mediator is not binding on the customer and thus he can take further actions if he is not satisfied. This may amount to the waste of considerable time and effort of the parties. Furthermore, disputes must have been attempted to be resolved by the financial institution before such complaint can be entertained by the bureau. This may amount to a longer time for the dispute to get resolved especially where the financial institution is not keen at resolving same.</w:t>
      </w:r>
    </w:p>
    <w:p w14:paraId="5071B334" w14:textId="77777777" w:rsidR="00337E59" w:rsidRDefault="00337E59" w:rsidP="00337E59">
      <w:pPr>
        <w:spacing w:after="0" w:line="360" w:lineRule="auto"/>
        <w:jc w:val="both"/>
        <w:rPr>
          <w:rFonts w:ascii="Times New Roman" w:eastAsia="Calibri" w:hAnsi="Times New Roman" w:cs="Times New Roman"/>
          <w:sz w:val="24"/>
          <w:szCs w:val="24"/>
          <w:lang w:val="en-MY"/>
        </w:rPr>
      </w:pPr>
    </w:p>
    <w:p w14:paraId="34F4A1C4" w14:textId="77777777" w:rsidR="0040793A" w:rsidRPr="0040793A" w:rsidRDefault="0040793A" w:rsidP="00337E59">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lastRenderedPageBreak/>
        <w:t>Another weakness of the process is that the bureau has limited jurisdiction. It cannot mediate over dispute involving claims exceeding RM100 000 for banking and financial related disputes,</w:t>
      </w:r>
      <w:r w:rsidRPr="0040793A">
        <w:rPr>
          <w:rFonts w:ascii="Times New Roman" w:eastAsia="Calibri" w:hAnsi="Times New Roman" w:cs="Times New Roman"/>
          <w:sz w:val="24"/>
          <w:szCs w:val="24"/>
          <w:vertAlign w:val="superscript"/>
          <w:lang w:val="en-MY"/>
        </w:rPr>
        <w:footnoteReference w:id="60"/>
      </w:r>
      <w:r w:rsidRPr="0040793A">
        <w:rPr>
          <w:rFonts w:ascii="Times New Roman" w:eastAsia="Calibri" w:hAnsi="Times New Roman" w:cs="Times New Roman"/>
          <w:sz w:val="24"/>
          <w:szCs w:val="24"/>
          <w:lang w:val="en-MY"/>
        </w:rPr>
        <w:t>those relating to product policies, general pricing or services of the members, credit decisions and cases which are time barred and those that have been referred to the court and/or for arbitration.</w:t>
      </w:r>
      <w:r w:rsidRPr="0040793A">
        <w:rPr>
          <w:rFonts w:ascii="Times New Roman" w:eastAsia="Calibri" w:hAnsi="Times New Roman" w:cs="Times New Roman"/>
          <w:sz w:val="24"/>
          <w:szCs w:val="24"/>
          <w:vertAlign w:val="superscript"/>
          <w:lang w:val="en-MY"/>
        </w:rPr>
        <w:footnoteReference w:id="61"/>
      </w:r>
      <w:r w:rsidRPr="0040793A">
        <w:rPr>
          <w:rFonts w:ascii="Times New Roman" w:eastAsia="Calibri" w:hAnsi="Times New Roman" w:cs="Times New Roman"/>
          <w:sz w:val="24"/>
          <w:szCs w:val="24"/>
          <w:lang w:val="en-MY"/>
        </w:rPr>
        <w:t xml:space="preserve"> Also, the Memorandum and Article of Association of the bureau specifically exclude all disputes pertaining to policy from its jurisdiction.</w:t>
      </w:r>
      <w:r w:rsidRPr="0040793A">
        <w:rPr>
          <w:rFonts w:ascii="Times New Roman" w:eastAsia="Calibri" w:hAnsi="Times New Roman" w:cs="Times New Roman"/>
          <w:sz w:val="24"/>
          <w:szCs w:val="24"/>
          <w:vertAlign w:val="superscript"/>
          <w:lang w:val="en-MY"/>
        </w:rPr>
        <w:footnoteReference w:id="62"/>
      </w:r>
      <w:r w:rsidRPr="0040793A">
        <w:rPr>
          <w:rFonts w:ascii="Times New Roman" w:eastAsia="Calibri" w:hAnsi="Times New Roman" w:cs="Times New Roman"/>
          <w:sz w:val="24"/>
          <w:szCs w:val="24"/>
          <w:lang w:val="en-MY"/>
        </w:rPr>
        <w:t xml:space="preserve">Therefore, parties with the excluded nature of complaints will have to explore other options of resolving their dispute or proceed to court. </w:t>
      </w:r>
    </w:p>
    <w:p w14:paraId="27EEA7CF" w14:textId="77777777" w:rsidR="0040793A" w:rsidRPr="0040793A" w:rsidRDefault="0040793A" w:rsidP="0037074D">
      <w:pPr>
        <w:spacing w:after="0" w:line="360" w:lineRule="auto"/>
        <w:ind w:firstLine="720"/>
        <w:jc w:val="both"/>
        <w:rPr>
          <w:rFonts w:ascii="Times New Roman" w:eastAsia="Calibri" w:hAnsi="Times New Roman" w:cs="Times New Roman"/>
          <w:sz w:val="24"/>
          <w:szCs w:val="24"/>
          <w:lang w:val="en-MY"/>
        </w:rPr>
      </w:pPr>
    </w:p>
    <w:p w14:paraId="09A86E3E" w14:textId="77777777" w:rsidR="0040793A" w:rsidRPr="0040793A" w:rsidRDefault="0040793A" w:rsidP="0037074D">
      <w:pPr>
        <w:spacing w:after="200" w:line="360" w:lineRule="auto"/>
        <w:jc w:val="both"/>
        <w:outlineLvl w:val="2"/>
        <w:rPr>
          <w:rFonts w:ascii="Times New Roman" w:eastAsia="Calibri" w:hAnsi="Times New Roman" w:cs="Times New Roman"/>
          <w:b/>
          <w:bCs/>
          <w:sz w:val="24"/>
          <w:szCs w:val="24"/>
          <w:lang w:val="en-MY"/>
        </w:rPr>
      </w:pPr>
      <w:bookmarkStart w:id="80" w:name="_Toc384074406"/>
      <w:bookmarkStart w:id="81" w:name="_Toc384219410"/>
      <w:bookmarkStart w:id="82" w:name="_Toc384274317"/>
      <w:bookmarkStart w:id="83" w:name="_Toc393166998"/>
      <w:r w:rsidRPr="0040793A">
        <w:rPr>
          <w:rFonts w:ascii="Times New Roman" w:eastAsia="Calibri" w:hAnsi="Times New Roman" w:cs="Times New Roman"/>
          <w:b/>
          <w:bCs/>
          <w:sz w:val="24"/>
          <w:szCs w:val="24"/>
          <w:lang w:val="en-MY"/>
        </w:rPr>
        <w:t xml:space="preserve"> Opportunities</w:t>
      </w:r>
      <w:bookmarkEnd w:id="80"/>
      <w:bookmarkEnd w:id="81"/>
      <w:bookmarkEnd w:id="82"/>
      <w:bookmarkEnd w:id="83"/>
    </w:p>
    <w:p w14:paraId="1D9A0349" w14:textId="77777777" w:rsidR="0040793A" w:rsidRPr="0040793A" w:rsidRDefault="0040793A" w:rsidP="0037074D">
      <w:pPr>
        <w:spacing w:after="0" w:line="360" w:lineRule="auto"/>
        <w:jc w:val="both"/>
        <w:rPr>
          <w:rFonts w:ascii="Times New Roman" w:eastAsia="Batang" w:hAnsi="Times New Roman" w:cs="Times New Roman"/>
          <w:sz w:val="24"/>
          <w:szCs w:val="24"/>
          <w:lang w:eastAsia="ko-KR"/>
        </w:rPr>
      </w:pPr>
      <w:r w:rsidRPr="0040793A">
        <w:rPr>
          <w:rFonts w:ascii="Times New Roman" w:eastAsia="Batang" w:hAnsi="Times New Roman" w:cs="Times New Roman"/>
          <w:sz w:val="24"/>
          <w:szCs w:val="24"/>
          <w:lang w:eastAsia="ko-KR"/>
        </w:rPr>
        <w:t xml:space="preserve">The mediation process at the bureau provides a great deal of opportunity for parties in the Islamic finance disputes to resolve their disputes in an efficient and at no cost manner. This is a great opportunity for indigent parties that might feel threatened to take their case to court because of the cost involved. Another important opportunity provided by the process to the resolution of Islamic finance disputes is the fact that lawyers are not involved, the complainants deals directly with the bureau and the procedure is in such a manner that the complainants moves from one step to the other until his complaints is finally resolved. </w:t>
      </w:r>
    </w:p>
    <w:p w14:paraId="387CDB4A" w14:textId="77777777" w:rsidR="0040793A" w:rsidRPr="0040793A" w:rsidRDefault="0040793A" w:rsidP="0037074D">
      <w:pPr>
        <w:spacing w:after="0" w:line="360" w:lineRule="auto"/>
        <w:rPr>
          <w:rFonts w:ascii="Times New Roman" w:eastAsia="Times New Roman" w:hAnsi="Times New Roman" w:cs="Times New Roman"/>
          <w:sz w:val="24"/>
          <w:szCs w:val="24"/>
        </w:rPr>
      </w:pPr>
    </w:p>
    <w:p w14:paraId="28F58292" w14:textId="77777777" w:rsidR="0040793A" w:rsidRPr="0040793A" w:rsidRDefault="0040793A" w:rsidP="0037074D">
      <w:pPr>
        <w:spacing w:after="200" w:line="360" w:lineRule="auto"/>
        <w:jc w:val="both"/>
        <w:outlineLvl w:val="2"/>
        <w:rPr>
          <w:rFonts w:ascii="Times New Roman" w:eastAsia="Calibri" w:hAnsi="Times New Roman" w:cs="Times New Roman"/>
          <w:b/>
          <w:bCs/>
          <w:sz w:val="24"/>
          <w:szCs w:val="24"/>
          <w:lang w:val="en-MY"/>
        </w:rPr>
      </w:pPr>
      <w:bookmarkStart w:id="84" w:name="_Toc384074407"/>
      <w:bookmarkStart w:id="85" w:name="_Toc384219411"/>
      <w:bookmarkStart w:id="86" w:name="_Toc384274318"/>
      <w:bookmarkStart w:id="87" w:name="_Toc393166999"/>
      <w:r w:rsidRPr="0040793A">
        <w:rPr>
          <w:rFonts w:ascii="Times New Roman" w:eastAsia="Calibri" w:hAnsi="Times New Roman" w:cs="Times New Roman"/>
          <w:b/>
          <w:bCs/>
          <w:sz w:val="24"/>
          <w:szCs w:val="24"/>
          <w:lang w:val="en-MY"/>
        </w:rPr>
        <w:t>Threats</w:t>
      </w:r>
      <w:bookmarkEnd w:id="84"/>
      <w:bookmarkEnd w:id="85"/>
      <w:bookmarkEnd w:id="86"/>
      <w:bookmarkEnd w:id="87"/>
    </w:p>
    <w:p w14:paraId="6D9EE8F6" w14:textId="77777777" w:rsidR="0040793A" w:rsidRPr="0040793A" w:rsidRDefault="0040793A" w:rsidP="0037074D">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 xml:space="preserve">The Memorandum and Articles of Association of FMB provide that the FSP will be bound by the awards. This restricts the FSP from exploring other options if not satisfied with the decision of the ombudsman. Lack of independence of the mediators is also another threat because despite the fact that they are not appointed by the members, they may still owe some allegiance to the FSP being the ones funding the bureau. </w:t>
      </w:r>
    </w:p>
    <w:p w14:paraId="045C21FA" w14:textId="77777777" w:rsidR="00337E59" w:rsidRDefault="00337E59" w:rsidP="00337E59">
      <w:pPr>
        <w:spacing w:after="200" w:line="360" w:lineRule="auto"/>
        <w:jc w:val="both"/>
        <w:rPr>
          <w:rFonts w:ascii="Times New Roman" w:eastAsia="Calibri" w:hAnsi="Times New Roman" w:cs="Times New Roman"/>
          <w:sz w:val="24"/>
          <w:szCs w:val="24"/>
          <w:lang w:val="en-MY"/>
        </w:rPr>
      </w:pPr>
    </w:p>
    <w:p w14:paraId="5D9029FE" w14:textId="77777777" w:rsidR="0040793A" w:rsidRPr="0040793A" w:rsidRDefault="0040793A" w:rsidP="00337E59">
      <w:pPr>
        <w:spacing w:after="20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Also, a threat to the successful resolution of Islamic banking disputes at the bureau is the fact that most of the complaints are based on experience of the customers and not on any contract. It is only in rare cases that complaints are made based on disputes pertaining to services which are based on contractual documents. Therefore in such situations where the issue of dispute is based on experience, the mediators have to first carry out a preliminary investigation to ensure that there is in fact a dispute that falls within the ambit of the bureau. This may require the complainant to return to the bureau with requisite documents and evidence pertaining to the dispute. It is only then that the complaint is registered and the mediator can then initiate the mediation process.  This causes delay and affects the overall success of the process.</w:t>
      </w:r>
    </w:p>
    <w:p w14:paraId="7EA7DB9F" w14:textId="77777777" w:rsidR="0040793A" w:rsidRPr="0040793A" w:rsidRDefault="0040793A" w:rsidP="0037074D">
      <w:pPr>
        <w:spacing w:after="20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noProof/>
          <w:sz w:val="24"/>
          <w:szCs w:val="24"/>
          <w:lang w:eastAsia="en-GB"/>
        </w:rPr>
        <w:drawing>
          <wp:inline distT="0" distB="0" distL="0" distR="0" wp14:anchorId="6EFD70AA" wp14:editId="0BD820E6">
            <wp:extent cx="5484495" cy="4484370"/>
            <wp:effectExtent l="0" t="0" r="20955" b="11430"/>
            <wp:docPr id="7" name="Diagram 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14:paraId="08A1679D" w14:textId="77777777" w:rsidR="0040793A" w:rsidRPr="0040793A" w:rsidRDefault="00047CDD" w:rsidP="0037074D">
      <w:pPr>
        <w:spacing w:after="200" w:line="360" w:lineRule="auto"/>
        <w:jc w:val="center"/>
        <w:rPr>
          <w:rFonts w:ascii="Times New Roman" w:eastAsia="Calibri" w:hAnsi="Times New Roman" w:cs="Times New Roman"/>
          <w:sz w:val="24"/>
          <w:szCs w:val="24"/>
          <w:lang w:val="en-MY"/>
        </w:rPr>
      </w:pPr>
      <w:r>
        <w:rPr>
          <w:rFonts w:ascii="Times New Roman" w:eastAsia="Calibri" w:hAnsi="Times New Roman" w:cs="Times New Roman"/>
          <w:sz w:val="24"/>
          <w:szCs w:val="24"/>
          <w:lang w:val="en-MY"/>
        </w:rPr>
        <w:t>Figure 4</w:t>
      </w:r>
      <w:r w:rsidR="0040793A" w:rsidRPr="0040793A">
        <w:rPr>
          <w:rFonts w:ascii="Times New Roman" w:eastAsia="Calibri" w:hAnsi="Times New Roman" w:cs="Times New Roman"/>
          <w:sz w:val="24"/>
          <w:szCs w:val="24"/>
          <w:lang w:val="en-MY"/>
        </w:rPr>
        <w:t xml:space="preserve"> SWOT Analysis on Mediation/adjudication</w:t>
      </w:r>
    </w:p>
    <w:p w14:paraId="3310A776" w14:textId="77777777" w:rsidR="0040793A" w:rsidRPr="0040793A" w:rsidRDefault="0040793A" w:rsidP="0037074D">
      <w:pPr>
        <w:spacing w:after="200" w:line="360" w:lineRule="auto"/>
        <w:jc w:val="center"/>
        <w:rPr>
          <w:rFonts w:ascii="Times New Roman" w:eastAsia="Calibri" w:hAnsi="Times New Roman" w:cs="Times New Roman"/>
          <w:sz w:val="24"/>
          <w:szCs w:val="24"/>
          <w:lang w:val="en-MY"/>
        </w:rPr>
      </w:pPr>
    </w:p>
    <w:p w14:paraId="20F520E7" w14:textId="77777777" w:rsidR="0040793A" w:rsidRPr="0040793A" w:rsidRDefault="0040793A" w:rsidP="0037074D">
      <w:pPr>
        <w:spacing w:after="200" w:line="360" w:lineRule="auto"/>
        <w:jc w:val="both"/>
        <w:rPr>
          <w:rFonts w:ascii="Times New Roman" w:eastAsia="Calibri" w:hAnsi="Times New Roman" w:cs="Times New Roman"/>
          <w:sz w:val="24"/>
          <w:szCs w:val="24"/>
          <w:lang w:val="en-MY"/>
        </w:rPr>
      </w:pPr>
    </w:p>
    <w:p w14:paraId="76FBF8E2" w14:textId="77777777" w:rsidR="0040793A" w:rsidRPr="0040793A" w:rsidRDefault="0040793A" w:rsidP="0037074D">
      <w:pPr>
        <w:spacing w:after="200" w:line="360" w:lineRule="auto"/>
        <w:jc w:val="both"/>
        <w:outlineLvl w:val="1"/>
        <w:rPr>
          <w:rFonts w:ascii="Times New Roman" w:eastAsia="Calibri" w:hAnsi="Times New Roman" w:cs="Times New Roman"/>
          <w:b/>
          <w:sz w:val="24"/>
          <w:szCs w:val="24"/>
        </w:rPr>
      </w:pPr>
      <w:bookmarkStart w:id="88" w:name="_Toc393167000"/>
      <w:bookmarkStart w:id="89" w:name="_Toc384074408"/>
      <w:bookmarkStart w:id="90" w:name="_Toc384219412"/>
      <w:bookmarkStart w:id="91" w:name="_Toc384274319"/>
      <w:r w:rsidRPr="0040793A">
        <w:rPr>
          <w:rFonts w:ascii="Times New Roman" w:eastAsia="Calibri" w:hAnsi="Times New Roman" w:cs="Times New Roman"/>
          <w:b/>
          <w:sz w:val="24"/>
          <w:szCs w:val="24"/>
        </w:rPr>
        <w:lastRenderedPageBreak/>
        <w:t xml:space="preserve"> MEDIATION (MMC)</w:t>
      </w:r>
      <w:bookmarkEnd w:id="88"/>
      <w:r w:rsidRPr="0040793A">
        <w:rPr>
          <w:rFonts w:ascii="Times New Roman" w:eastAsia="Calibri" w:hAnsi="Times New Roman" w:cs="Times New Roman"/>
          <w:b/>
          <w:sz w:val="24"/>
          <w:szCs w:val="24"/>
        </w:rPr>
        <w:t xml:space="preserve"> </w:t>
      </w:r>
      <w:bookmarkEnd w:id="89"/>
      <w:bookmarkEnd w:id="90"/>
      <w:bookmarkEnd w:id="91"/>
    </w:p>
    <w:p w14:paraId="3B87F46E" w14:textId="77777777" w:rsidR="0040793A" w:rsidRPr="0040793A" w:rsidRDefault="0040793A" w:rsidP="0037074D">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MMC was established by the Bar Council of Malaysia in November 1999. It is used mainly to handle commercial disputes through mediation where parties may either by themselves present their cases before the mediator or may request lawyers to appear on their behalf. The process is strictly confidential and if eventually the matter ends up in litigation, parties can neither rely on any information disclosed during the process nor can they call the mediator as a witness. It is quite flexible and voluntary as the process may be halted at any stage by the mediator or either party if it is felt that no benefit may be derived out of it. Its main function has been summarised as “The services of the MMC include mediation services, assistance and advice on how to get the other side to agree to mediation if one party has shown interest, and provision of mediation training for those interested in becoming mediators.  It also accredits trained mediators and maintains a panel of mediators.”</w:t>
      </w:r>
      <w:r w:rsidRPr="0040793A">
        <w:rPr>
          <w:rFonts w:ascii="Times New Roman" w:eastAsia="Calibri" w:hAnsi="Times New Roman" w:cs="Times New Roman"/>
          <w:sz w:val="24"/>
          <w:szCs w:val="24"/>
          <w:vertAlign w:val="superscript"/>
          <w:lang w:val="en-MY"/>
        </w:rPr>
        <w:footnoteReference w:id="63"/>
      </w:r>
      <w:r w:rsidRPr="0040793A">
        <w:rPr>
          <w:rFonts w:ascii="Times New Roman" w:eastAsia="Calibri" w:hAnsi="Times New Roman" w:cs="Times New Roman"/>
          <w:sz w:val="24"/>
          <w:szCs w:val="24"/>
          <w:lang w:val="en-MY"/>
        </w:rPr>
        <w:t xml:space="preserve">  </w:t>
      </w:r>
    </w:p>
    <w:p w14:paraId="69B90363" w14:textId="77777777" w:rsidR="00337E59" w:rsidRDefault="00337E59" w:rsidP="00337E59">
      <w:pPr>
        <w:spacing w:after="200" w:line="360" w:lineRule="auto"/>
        <w:jc w:val="both"/>
        <w:rPr>
          <w:rFonts w:ascii="Times New Roman" w:eastAsia="Calibri" w:hAnsi="Times New Roman" w:cs="Times New Roman"/>
          <w:sz w:val="24"/>
          <w:szCs w:val="24"/>
          <w:lang w:val="en-MY"/>
        </w:rPr>
      </w:pPr>
    </w:p>
    <w:p w14:paraId="79C3EE96" w14:textId="77777777" w:rsidR="0040793A" w:rsidRPr="0040793A" w:rsidRDefault="0040793A" w:rsidP="00337E59">
      <w:pPr>
        <w:spacing w:after="200" w:line="360" w:lineRule="auto"/>
        <w:jc w:val="both"/>
        <w:rPr>
          <w:rFonts w:ascii="Times New Roman" w:eastAsia="Calibri" w:hAnsi="Times New Roman" w:cs="Times New Roman"/>
          <w:sz w:val="24"/>
          <w:szCs w:val="24"/>
        </w:rPr>
      </w:pPr>
      <w:r w:rsidRPr="0040793A">
        <w:rPr>
          <w:rFonts w:ascii="Times New Roman" w:eastAsia="Calibri" w:hAnsi="Times New Roman" w:cs="Times New Roman"/>
          <w:sz w:val="24"/>
          <w:szCs w:val="24"/>
          <w:lang w:val="en-MY"/>
        </w:rPr>
        <w:t xml:space="preserve">The services of this centre have been recognised such that its code of conduct as well as its mediation rules is being used by all mediation service providers including the court as provided in the Practice Direction on Mediation issued in August 2010. </w:t>
      </w:r>
      <w:r w:rsidRPr="0040793A">
        <w:rPr>
          <w:rFonts w:ascii="Times New Roman" w:eastAsia="Calibri" w:hAnsi="Times New Roman" w:cs="Times New Roman"/>
          <w:sz w:val="24"/>
          <w:szCs w:val="24"/>
        </w:rPr>
        <w:t>In addition, MMC furnished the court with a list of neutrals from where mediators are appointed when there are court referrals.</w:t>
      </w:r>
      <w:r w:rsidRPr="0040793A">
        <w:rPr>
          <w:rFonts w:ascii="Times New Roman" w:eastAsia="Calibri" w:hAnsi="Times New Roman" w:cs="Times New Roman"/>
          <w:sz w:val="24"/>
          <w:szCs w:val="24"/>
          <w:vertAlign w:val="superscript"/>
        </w:rPr>
        <w:footnoteReference w:id="64"/>
      </w:r>
      <w:r w:rsidRPr="0040793A">
        <w:rPr>
          <w:rFonts w:ascii="Times New Roman" w:eastAsia="Calibri" w:hAnsi="Times New Roman" w:cs="Times New Roman"/>
          <w:sz w:val="24"/>
          <w:szCs w:val="24"/>
        </w:rPr>
        <w:t xml:space="preserve"> However, the establishment of the KLCMC in 2011 has restricted the court-annexed mediation to judge-led mediation impliedly excluding MMC from the court-annexed mediation programme.</w:t>
      </w:r>
      <w:bookmarkStart w:id="92" w:name="_Toc384074409"/>
      <w:bookmarkStart w:id="93" w:name="_Toc384219413"/>
      <w:bookmarkStart w:id="94" w:name="_Toc384274320"/>
      <w:bookmarkStart w:id="95" w:name="_Toc393167001"/>
    </w:p>
    <w:p w14:paraId="6CA4F9D5" w14:textId="77777777" w:rsidR="0040793A" w:rsidRPr="0040793A" w:rsidRDefault="0040793A" w:rsidP="0037074D">
      <w:pPr>
        <w:spacing w:after="200" w:line="360" w:lineRule="auto"/>
        <w:jc w:val="both"/>
        <w:outlineLvl w:val="2"/>
        <w:rPr>
          <w:rFonts w:ascii="Times New Roman" w:eastAsia="Calibri" w:hAnsi="Times New Roman" w:cs="Times New Roman"/>
          <w:b/>
          <w:bCs/>
          <w:sz w:val="24"/>
          <w:szCs w:val="24"/>
          <w:lang w:val="en-MY"/>
        </w:rPr>
      </w:pPr>
      <w:r w:rsidRPr="0040793A">
        <w:rPr>
          <w:rFonts w:ascii="Times New Roman" w:eastAsia="Calibri" w:hAnsi="Times New Roman" w:cs="Times New Roman"/>
          <w:b/>
          <w:bCs/>
          <w:sz w:val="24"/>
          <w:szCs w:val="24"/>
          <w:lang w:val="en-MY"/>
        </w:rPr>
        <w:t xml:space="preserve"> Strengths</w:t>
      </w:r>
      <w:bookmarkEnd w:id="92"/>
      <w:bookmarkEnd w:id="93"/>
      <w:bookmarkEnd w:id="94"/>
      <w:bookmarkEnd w:id="95"/>
    </w:p>
    <w:p w14:paraId="10115EA3" w14:textId="77777777" w:rsidR="0040793A" w:rsidRPr="0040793A" w:rsidRDefault="0040793A" w:rsidP="00337E59">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Mediation under the auspices of the MMC seeks to repair, improve and mend bruised or fractured personal and/or business relationship in a manner which is agreeable to the parties in the dispute.</w:t>
      </w:r>
      <w:r w:rsidRPr="0040793A">
        <w:rPr>
          <w:rFonts w:ascii="Times New Roman" w:eastAsia="Calibri" w:hAnsi="Times New Roman" w:cs="Times New Roman"/>
          <w:sz w:val="24"/>
          <w:szCs w:val="24"/>
          <w:vertAlign w:val="superscript"/>
          <w:lang w:val="en-MY"/>
        </w:rPr>
        <w:footnoteReference w:id="65"/>
      </w:r>
      <w:r w:rsidRPr="0040793A">
        <w:rPr>
          <w:rFonts w:ascii="Times New Roman" w:eastAsia="Calibri" w:hAnsi="Times New Roman" w:cs="Times New Roman"/>
          <w:sz w:val="24"/>
          <w:szCs w:val="24"/>
          <w:lang w:val="en-MY"/>
        </w:rPr>
        <w:t xml:space="preserve"> This is very useful to Islamic finance disputant parties because theirs is an on-going relationship that needs to be guarded and protected strictly. Parties enhance the possibility of continuing their commercial relationship with each other through the use of this process provided by the MMC.</w:t>
      </w:r>
      <w:r w:rsidR="00337E59">
        <w:rPr>
          <w:rFonts w:ascii="Times New Roman" w:eastAsia="Calibri" w:hAnsi="Times New Roman" w:cs="Times New Roman"/>
          <w:sz w:val="24"/>
          <w:szCs w:val="24"/>
          <w:lang w:val="en-MY"/>
        </w:rPr>
        <w:t xml:space="preserve"> </w:t>
      </w:r>
      <w:r w:rsidRPr="0040793A">
        <w:rPr>
          <w:rFonts w:ascii="Times New Roman" w:eastAsia="Calibri" w:hAnsi="Times New Roman" w:cs="Times New Roman"/>
          <w:sz w:val="24"/>
          <w:szCs w:val="24"/>
          <w:lang w:val="en-MY"/>
        </w:rPr>
        <w:t xml:space="preserve">Another important strength of the process of mediation under </w:t>
      </w:r>
      <w:r w:rsidRPr="0040793A">
        <w:rPr>
          <w:rFonts w:ascii="Times New Roman" w:eastAsia="Calibri" w:hAnsi="Times New Roman" w:cs="Times New Roman"/>
          <w:sz w:val="24"/>
          <w:szCs w:val="24"/>
          <w:lang w:val="en-MY"/>
        </w:rPr>
        <w:lastRenderedPageBreak/>
        <w:t>the auspices of MMC is the time and money-saving advantage of the process. Because mediation can be scheduled early in the centre, settlement is reached much more quickly. Also, parties generally save money because legal costs are reduced and there is less staff time involved.</w:t>
      </w:r>
    </w:p>
    <w:p w14:paraId="0568493E" w14:textId="77777777" w:rsidR="00337E59" w:rsidRDefault="00337E59" w:rsidP="00337E59">
      <w:pPr>
        <w:spacing w:after="0" w:line="360" w:lineRule="auto"/>
        <w:jc w:val="both"/>
        <w:rPr>
          <w:rFonts w:ascii="Times New Roman" w:eastAsia="Calibri" w:hAnsi="Times New Roman" w:cs="Times New Roman"/>
          <w:sz w:val="24"/>
          <w:szCs w:val="24"/>
          <w:lang w:val="en-MY"/>
        </w:rPr>
      </w:pPr>
    </w:p>
    <w:p w14:paraId="0CCE8194" w14:textId="77777777" w:rsidR="0040793A" w:rsidRPr="0040793A" w:rsidRDefault="0040793A" w:rsidP="00337E59">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The process of mediation at the centre is conducted in an informal setting which thus helps to settle the dispute quickly avoiding the rigorous and over formal setting that applies in the court process. No strict rule of procedure is to be followed before settlement is reached. This thus leads to a just, expeditious and economical resolution of the dispute between the banks and the customers.</w:t>
      </w:r>
      <w:r w:rsidR="00337E59">
        <w:rPr>
          <w:rFonts w:ascii="Times New Roman" w:eastAsia="Calibri" w:hAnsi="Times New Roman" w:cs="Times New Roman"/>
          <w:sz w:val="24"/>
          <w:szCs w:val="24"/>
          <w:lang w:val="en-MY"/>
        </w:rPr>
        <w:t xml:space="preserve"> </w:t>
      </w:r>
      <w:r w:rsidRPr="0040793A">
        <w:rPr>
          <w:rFonts w:ascii="Times New Roman" w:eastAsia="Calibri" w:hAnsi="Times New Roman" w:cs="Times New Roman"/>
          <w:sz w:val="24"/>
          <w:szCs w:val="24"/>
          <w:lang w:val="en-MY"/>
        </w:rPr>
        <w:t>Litigants can speak directly to the mediator without necessarily appointing a lawyer. All the legal jargons and legalese are thus dispensed with to the advantage of the parties who are usually not conversant with them. Hence, there is direct engagement of the disputants in negotiating the settlement. Feelings can be expressed in a manner that sure leads to settlement unlike in the court process where only facts and evidences are allowed. Also, unique solutions and accommodations of parties’ special needs can form part of the settlement.</w:t>
      </w:r>
      <w:r w:rsidRPr="0040793A">
        <w:rPr>
          <w:rFonts w:ascii="Times New Roman" w:eastAsia="Calibri" w:hAnsi="Times New Roman" w:cs="Times New Roman"/>
          <w:sz w:val="24"/>
          <w:szCs w:val="24"/>
          <w:vertAlign w:val="superscript"/>
          <w:lang w:val="en-MY"/>
        </w:rPr>
        <w:footnoteReference w:id="66"/>
      </w:r>
    </w:p>
    <w:p w14:paraId="694DCB20" w14:textId="77777777" w:rsidR="00337E59" w:rsidRDefault="00337E59" w:rsidP="00337E59">
      <w:pPr>
        <w:spacing w:after="0" w:line="360" w:lineRule="auto"/>
        <w:jc w:val="both"/>
        <w:rPr>
          <w:rFonts w:ascii="Times New Roman" w:eastAsia="Calibri" w:hAnsi="Times New Roman" w:cs="Times New Roman"/>
          <w:sz w:val="24"/>
          <w:szCs w:val="24"/>
          <w:lang w:val="en-MY"/>
        </w:rPr>
      </w:pPr>
    </w:p>
    <w:p w14:paraId="68768BF3" w14:textId="77777777" w:rsidR="0040793A" w:rsidRPr="0040793A" w:rsidRDefault="0040793A" w:rsidP="00337E59">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Mediators registered under the MMC are legally and specially trained and well versed in the law being senior lawyers themselves and have the requisite skills to conduct the mediation. The mediators who form the panel of mediators of the MMC have been accredited and therefore provide professional mediation services. The</w:t>
      </w:r>
      <w:r w:rsidRPr="0040793A">
        <w:rPr>
          <w:rFonts w:ascii="Times New Roman" w:eastAsia="Calibri" w:hAnsi="Times New Roman" w:cs="Times New Roman"/>
          <w:color w:val="FF0000"/>
          <w:sz w:val="24"/>
          <w:szCs w:val="24"/>
          <w:lang w:val="en-MY"/>
        </w:rPr>
        <w:t xml:space="preserve"> </w:t>
      </w:r>
      <w:r w:rsidRPr="0040793A">
        <w:rPr>
          <w:rFonts w:ascii="Times New Roman" w:eastAsia="Calibri" w:hAnsi="Times New Roman" w:cs="Times New Roman"/>
          <w:sz w:val="24"/>
          <w:szCs w:val="24"/>
          <w:lang w:val="en-MY"/>
        </w:rPr>
        <w:t>mediators, who are neutral third parties, view the dispute objectively and assist the parties in exploring alternatives which they might not have considered on their own.</w:t>
      </w:r>
      <w:r w:rsidRPr="0040793A">
        <w:rPr>
          <w:rFonts w:ascii="Times New Roman" w:eastAsia="Calibri" w:hAnsi="Times New Roman" w:cs="Times New Roman"/>
          <w:sz w:val="24"/>
          <w:szCs w:val="24"/>
          <w:vertAlign w:val="superscript"/>
          <w:lang w:val="en-MY"/>
        </w:rPr>
        <w:footnoteReference w:id="67"/>
      </w:r>
    </w:p>
    <w:p w14:paraId="26E3D6C0" w14:textId="77777777" w:rsidR="0040793A" w:rsidRPr="0040793A" w:rsidRDefault="0040793A" w:rsidP="0037074D">
      <w:pPr>
        <w:spacing w:after="0" w:line="360" w:lineRule="auto"/>
        <w:jc w:val="both"/>
        <w:rPr>
          <w:rFonts w:ascii="Times New Roman" w:eastAsia="Calibri" w:hAnsi="Times New Roman" w:cs="Times New Roman"/>
          <w:sz w:val="24"/>
          <w:szCs w:val="24"/>
          <w:lang w:val="en-MY"/>
        </w:rPr>
      </w:pPr>
    </w:p>
    <w:p w14:paraId="0DB245B1" w14:textId="77777777" w:rsidR="0040793A" w:rsidRPr="0040793A" w:rsidRDefault="0040793A" w:rsidP="0037074D">
      <w:pPr>
        <w:spacing w:after="200" w:line="360" w:lineRule="auto"/>
        <w:jc w:val="both"/>
        <w:outlineLvl w:val="2"/>
        <w:rPr>
          <w:rFonts w:ascii="Times New Roman" w:eastAsia="Calibri" w:hAnsi="Times New Roman" w:cs="Times New Roman"/>
          <w:b/>
          <w:bCs/>
          <w:sz w:val="24"/>
          <w:szCs w:val="24"/>
          <w:lang w:val="en-MY"/>
        </w:rPr>
      </w:pPr>
      <w:bookmarkStart w:id="96" w:name="_Toc384074410"/>
      <w:bookmarkStart w:id="97" w:name="_Toc384219414"/>
      <w:bookmarkStart w:id="98" w:name="_Toc384274321"/>
      <w:bookmarkStart w:id="99" w:name="_Toc393167002"/>
      <w:r w:rsidRPr="0040793A">
        <w:rPr>
          <w:rFonts w:ascii="Times New Roman" w:eastAsia="Calibri" w:hAnsi="Times New Roman" w:cs="Times New Roman"/>
          <w:b/>
          <w:bCs/>
          <w:sz w:val="24"/>
          <w:szCs w:val="24"/>
          <w:lang w:val="en-MY"/>
        </w:rPr>
        <w:t xml:space="preserve"> Weaknesses</w:t>
      </w:r>
      <w:bookmarkEnd w:id="96"/>
      <w:bookmarkEnd w:id="97"/>
      <w:bookmarkEnd w:id="98"/>
      <w:bookmarkEnd w:id="99"/>
    </w:p>
    <w:p w14:paraId="0B2844C9" w14:textId="77777777" w:rsidR="00337E59" w:rsidRDefault="0040793A" w:rsidP="00C75E33">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The mediation procedure is quite stringent and may be rigorous for the parties to comply with. This is because MMC uses the Mediation Act 2012 as well its Mediation Rules to guide the procedure, hence some of the problems of the Act</w:t>
      </w:r>
      <w:r w:rsidRPr="0040793A">
        <w:rPr>
          <w:rFonts w:ascii="Times New Roman" w:eastAsia="Calibri" w:hAnsi="Times New Roman" w:cs="Times New Roman"/>
          <w:sz w:val="24"/>
          <w:szCs w:val="24"/>
          <w:vertAlign w:val="superscript"/>
          <w:lang w:val="en-MY"/>
        </w:rPr>
        <w:footnoteReference w:id="68"/>
      </w:r>
      <w:r w:rsidRPr="0040793A">
        <w:rPr>
          <w:rFonts w:ascii="Times New Roman" w:eastAsia="Calibri" w:hAnsi="Times New Roman" w:cs="Times New Roman"/>
          <w:sz w:val="24"/>
          <w:szCs w:val="24"/>
          <w:lang w:val="en-MY"/>
        </w:rPr>
        <w:t xml:space="preserve"> invariably affect the process. The Act </w:t>
      </w:r>
      <w:r w:rsidRPr="0040793A">
        <w:rPr>
          <w:rFonts w:ascii="Times New Roman" w:eastAsia="Calibri" w:hAnsi="Times New Roman" w:cs="Times New Roman"/>
          <w:sz w:val="24"/>
          <w:szCs w:val="24"/>
          <w:lang w:val="en-MY"/>
        </w:rPr>
        <w:lastRenderedPageBreak/>
        <w:t xml:space="preserve">provides for strict procedural requirements that must be adhered to by the parties in order to commence the process. </w:t>
      </w:r>
      <w:bookmarkStart w:id="100" w:name="_Toc384074411"/>
      <w:bookmarkStart w:id="101" w:name="_Toc384219415"/>
      <w:bookmarkStart w:id="102" w:name="_Toc384274322"/>
      <w:bookmarkStart w:id="103" w:name="_Toc393167003"/>
    </w:p>
    <w:p w14:paraId="22E39050" w14:textId="77777777" w:rsidR="00C75E33" w:rsidRPr="00C75E33" w:rsidRDefault="00C75E33" w:rsidP="00C75E33">
      <w:pPr>
        <w:spacing w:after="0" w:line="360" w:lineRule="auto"/>
        <w:jc w:val="both"/>
        <w:rPr>
          <w:rFonts w:ascii="Times New Roman" w:eastAsia="Calibri" w:hAnsi="Times New Roman" w:cs="Times New Roman"/>
          <w:sz w:val="24"/>
          <w:szCs w:val="24"/>
          <w:lang w:val="en-MY"/>
        </w:rPr>
      </w:pPr>
    </w:p>
    <w:p w14:paraId="0F2416DF" w14:textId="77777777" w:rsidR="0040793A" w:rsidRPr="0040793A" w:rsidRDefault="0040793A" w:rsidP="0037074D">
      <w:pPr>
        <w:spacing w:after="200" w:line="360" w:lineRule="auto"/>
        <w:jc w:val="both"/>
        <w:outlineLvl w:val="2"/>
        <w:rPr>
          <w:rFonts w:ascii="Times New Roman" w:eastAsia="Calibri" w:hAnsi="Times New Roman" w:cs="Times New Roman"/>
          <w:b/>
          <w:bCs/>
          <w:sz w:val="24"/>
          <w:szCs w:val="24"/>
          <w:lang w:val="en-MY"/>
        </w:rPr>
      </w:pPr>
      <w:r w:rsidRPr="0040793A">
        <w:rPr>
          <w:rFonts w:ascii="Times New Roman" w:eastAsia="Calibri" w:hAnsi="Times New Roman" w:cs="Times New Roman"/>
          <w:b/>
          <w:bCs/>
          <w:sz w:val="24"/>
          <w:szCs w:val="24"/>
          <w:lang w:val="en-MY"/>
        </w:rPr>
        <w:t>Opportunities</w:t>
      </w:r>
      <w:bookmarkEnd w:id="100"/>
      <w:bookmarkEnd w:id="101"/>
      <w:bookmarkEnd w:id="102"/>
      <w:bookmarkEnd w:id="103"/>
    </w:p>
    <w:p w14:paraId="768E1943" w14:textId="77777777" w:rsidR="0040793A" w:rsidRPr="0040793A" w:rsidRDefault="0040793A" w:rsidP="0037074D">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The centre creates ample opportunity for mediation to become a preferred form of ADR mechanism for dispute resolution of Islamic finance industry in Malaysia. It also has the potential of preserving the long and on-going relationship that exists between the bank and the customer.</w:t>
      </w:r>
    </w:p>
    <w:p w14:paraId="446C1EA5" w14:textId="77777777" w:rsidR="0040793A" w:rsidRPr="0040793A" w:rsidRDefault="0040793A" w:rsidP="0037074D">
      <w:pPr>
        <w:spacing w:after="0" w:line="360" w:lineRule="auto"/>
        <w:jc w:val="both"/>
        <w:rPr>
          <w:rFonts w:ascii="Times New Roman" w:eastAsia="Calibri" w:hAnsi="Times New Roman" w:cs="Times New Roman"/>
          <w:sz w:val="24"/>
          <w:szCs w:val="24"/>
          <w:lang w:val="en-MY"/>
        </w:rPr>
      </w:pPr>
    </w:p>
    <w:p w14:paraId="02E06ACC" w14:textId="77777777" w:rsidR="0040793A" w:rsidRPr="0040793A" w:rsidRDefault="0040793A" w:rsidP="0037074D">
      <w:pPr>
        <w:spacing w:after="200" w:line="360" w:lineRule="auto"/>
        <w:jc w:val="both"/>
        <w:outlineLvl w:val="2"/>
        <w:rPr>
          <w:rFonts w:ascii="Times New Roman" w:eastAsia="Calibri" w:hAnsi="Times New Roman" w:cs="Times New Roman"/>
          <w:b/>
          <w:bCs/>
          <w:sz w:val="24"/>
          <w:szCs w:val="24"/>
          <w:lang w:val="en-MY"/>
        </w:rPr>
      </w:pPr>
      <w:bookmarkStart w:id="104" w:name="_Toc384074412"/>
      <w:bookmarkStart w:id="105" w:name="_Toc384219416"/>
      <w:bookmarkStart w:id="106" w:name="_Toc384274323"/>
      <w:bookmarkStart w:id="107" w:name="_Toc393167004"/>
      <w:r w:rsidRPr="0040793A">
        <w:rPr>
          <w:rFonts w:ascii="Times New Roman" w:eastAsia="Calibri" w:hAnsi="Times New Roman" w:cs="Times New Roman"/>
          <w:b/>
          <w:bCs/>
          <w:sz w:val="24"/>
          <w:szCs w:val="24"/>
          <w:lang w:val="en-MY"/>
        </w:rPr>
        <w:t xml:space="preserve"> Threats</w:t>
      </w:r>
      <w:bookmarkEnd w:id="104"/>
      <w:bookmarkEnd w:id="105"/>
      <w:bookmarkEnd w:id="106"/>
      <w:bookmarkEnd w:id="107"/>
    </w:p>
    <w:p w14:paraId="766DD931" w14:textId="77777777" w:rsidR="0040793A" w:rsidRPr="0040793A" w:rsidRDefault="0040793A" w:rsidP="0037074D">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The development of mediation as a process of ADR is plagued with certain issues such as the role being played by lawyers in mediation. Almost all the professional mediators are lawyers hence the mediation business is dominated by them. Therefore legalism is brought into the mediation process that is supposed to be free from all form of formality and clients who are supposed to be the captain in the ship of their cases are left to the mercy of the lawyers who want to be the exclusive mouthpiece for their clients. The result is over procedure of the mediation process. It is because of this that it has been observed that mediation is becoming a subtle form of litigation whereas it is supposed to be an alternative to litigation.</w:t>
      </w:r>
      <w:r w:rsidRPr="0040793A">
        <w:rPr>
          <w:rFonts w:ascii="Times New Roman" w:eastAsia="Calibri" w:hAnsi="Times New Roman" w:cs="Times New Roman"/>
          <w:sz w:val="24"/>
          <w:szCs w:val="24"/>
          <w:vertAlign w:val="superscript"/>
          <w:lang w:val="en-MY"/>
        </w:rPr>
        <w:footnoteReference w:id="69"/>
      </w:r>
    </w:p>
    <w:p w14:paraId="6F3218C6" w14:textId="77777777" w:rsidR="00337E59" w:rsidRDefault="00337E59" w:rsidP="00337E59">
      <w:pPr>
        <w:spacing w:after="0" w:line="360" w:lineRule="auto"/>
        <w:jc w:val="both"/>
        <w:rPr>
          <w:rFonts w:ascii="Times New Roman" w:eastAsia="Calibri" w:hAnsi="Times New Roman" w:cs="Times New Roman"/>
          <w:sz w:val="24"/>
          <w:szCs w:val="24"/>
          <w:lang w:val="en-MY"/>
        </w:rPr>
      </w:pPr>
    </w:p>
    <w:p w14:paraId="6FED4AF4" w14:textId="77777777" w:rsidR="0040793A" w:rsidRPr="0040793A" w:rsidRDefault="0040793A" w:rsidP="00337E59">
      <w:pPr>
        <w:spacing w:after="0" w:line="360" w:lineRule="auto"/>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Another equally sensitive threat to the mediation process is the fact that impartiality is made a criteria of mediation just as is the case under the court process. This is not in tune with the spirit of mediation because if a mediator is asked to be impartial it would mean that he or she should neither be concerned with a particular outcome in a dispute nor open himself or herself to any spurring by any of the parties. As it is noted by a well-known U.S mediator, Robert Creo:</w:t>
      </w:r>
    </w:p>
    <w:p w14:paraId="7D61698C" w14:textId="77777777" w:rsidR="0040793A" w:rsidRPr="0040793A" w:rsidRDefault="0040793A" w:rsidP="00C75E33">
      <w:pPr>
        <w:spacing w:after="0" w:line="360" w:lineRule="auto"/>
        <w:ind w:left="720" w:right="804"/>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 xml:space="preserve">[I]t is my belief that impartiality should not be assigned to mediation. Mediators intervene in a dispute, as third parties. Many mediators have been judges or arbitrators in the past, and some still are. It is not the goal of mediation to judge the merits of the dispute; the goal of mediation is to have the parties work together to come to a solution, to allow them to move on with </w:t>
      </w:r>
      <w:r w:rsidRPr="0040793A">
        <w:rPr>
          <w:rFonts w:ascii="Times New Roman" w:eastAsia="Calibri" w:hAnsi="Times New Roman" w:cs="Times New Roman"/>
          <w:sz w:val="24"/>
          <w:szCs w:val="24"/>
          <w:lang w:val="en-MY"/>
        </w:rPr>
        <w:lastRenderedPageBreak/>
        <w:t>their lives. Sometimes, through evaluating a party’s case is exactly what is needed to make the parties work together.</w:t>
      </w:r>
      <w:r w:rsidRPr="0040793A">
        <w:rPr>
          <w:rFonts w:ascii="Times New Roman" w:eastAsia="Calibri" w:hAnsi="Times New Roman" w:cs="Times New Roman"/>
          <w:sz w:val="24"/>
          <w:szCs w:val="24"/>
          <w:vertAlign w:val="superscript"/>
          <w:lang w:val="en-MY"/>
        </w:rPr>
        <w:footnoteReference w:id="70"/>
      </w:r>
    </w:p>
    <w:p w14:paraId="1D1B2A41" w14:textId="77777777" w:rsidR="0040793A" w:rsidRPr="0040793A" w:rsidRDefault="0040793A" w:rsidP="00C75E33">
      <w:pPr>
        <w:spacing w:after="0" w:line="360" w:lineRule="auto"/>
        <w:ind w:right="-46"/>
        <w:jc w:val="both"/>
        <w:rPr>
          <w:rFonts w:ascii="Times New Roman" w:eastAsia="Calibri" w:hAnsi="Times New Roman" w:cs="Times New Roman"/>
          <w:sz w:val="24"/>
          <w:szCs w:val="24"/>
          <w:lang w:val="en-MY"/>
        </w:rPr>
      </w:pPr>
      <w:r w:rsidRPr="0040793A">
        <w:rPr>
          <w:rFonts w:ascii="Times New Roman" w:eastAsia="Calibri" w:hAnsi="Times New Roman" w:cs="Times New Roman"/>
          <w:sz w:val="24"/>
          <w:szCs w:val="24"/>
          <w:lang w:val="en-MY"/>
        </w:rPr>
        <w:t>Another disturbing threat to the process is the issue of confidentiality in mediation and the provisions of some Act regarding disclosure of certain suspicious activities to the relevant authorities. For example the Malaysian Anti-Money Laundering and Terrorism Act 2001 (AMLATFA)</w:t>
      </w:r>
      <w:r w:rsidRPr="0040793A">
        <w:rPr>
          <w:rFonts w:ascii="Times New Roman" w:eastAsia="Calibri" w:hAnsi="Times New Roman" w:cs="Times New Roman"/>
          <w:color w:val="FF0000"/>
          <w:sz w:val="24"/>
          <w:szCs w:val="24"/>
          <w:lang w:val="en-MY"/>
        </w:rPr>
        <w:t xml:space="preserve"> </w:t>
      </w:r>
      <w:r w:rsidRPr="0040793A">
        <w:rPr>
          <w:rFonts w:ascii="Times New Roman" w:eastAsia="Calibri" w:hAnsi="Times New Roman" w:cs="Times New Roman"/>
          <w:sz w:val="24"/>
          <w:szCs w:val="24"/>
          <w:lang w:val="en-MY"/>
        </w:rPr>
        <w:t>places responsibility on some professional service providers including lawyers and mediators to report suspicious financial transactions to the Financial Intelligence Unit (FIU) in Bank Negara Malaysia (BNM).</w:t>
      </w:r>
      <w:r w:rsidRPr="0040793A">
        <w:rPr>
          <w:rFonts w:ascii="Times New Roman" w:eastAsia="Calibri" w:hAnsi="Times New Roman" w:cs="Times New Roman"/>
          <w:sz w:val="24"/>
          <w:szCs w:val="24"/>
          <w:vertAlign w:val="superscript"/>
          <w:lang w:val="en-MY"/>
        </w:rPr>
        <w:footnoteReference w:id="71"/>
      </w:r>
      <w:r w:rsidRPr="0040793A">
        <w:rPr>
          <w:rFonts w:ascii="Times New Roman" w:eastAsia="Calibri" w:hAnsi="Times New Roman" w:cs="Times New Roman"/>
          <w:sz w:val="24"/>
          <w:szCs w:val="24"/>
          <w:lang w:val="en-MY"/>
        </w:rPr>
        <w:t xml:space="preserve"> With this state of affairs the confidentiality of any information provided by the parties during the mediation process is no longer guaranteed. This is a major threat to the process which may make its development slowed down considerably. </w:t>
      </w:r>
    </w:p>
    <w:p w14:paraId="3630C5F9" w14:textId="77777777" w:rsidR="0040793A" w:rsidRPr="0040793A" w:rsidRDefault="0040793A" w:rsidP="0037074D">
      <w:pPr>
        <w:spacing w:after="200" w:line="360" w:lineRule="auto"/>
        <w:ind w:right="804"/>
        <w:jc w:val="both"/>
        <w:rPr>
          <w:rFonts w:ascii="Times New Roman" w:eastAsia="Calibri" w:hAnsi="Times New Roman" w:cs="Times New Roman"/>
          <w:sz w:val="24"/>
          <w:szCs w:val="24"/>
          <w:lang w:val="en-MY"/>
        </w:rPr>
      </w:pPr>
      <w:r w:rsidRPr="0040793A">
        <w:rPr>
          <w:rFonts w:ascii="Times New Roman" w:eastAsia="Calibri" w:hAnsi="Times New Roman" w:cs="Times New Roman"/>
          <w:noProof/>
          <w:sz w:val="24"/>
          <w:szCs w:val="24"/>
          <w:lang w:eastAsia="en-GB"/>
        </w:rPr>
        <w:drawing>
          <wp:inline distT="0" distB="0" distL="0" distR="0" wp14:anchorId="7D72C3D5" wp14:editId="36CFCFFF">
            <wp:extent cx="5785485" cy="5085080"/>
            <wp:effectExtent l="19050" t="0" r="24765" b="20320"/>
            <wp:docPr id="6" name="Diagram 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14:paraId="0827AA71" w14:textId="77777777" w:rsidR="0040793A" w:rsidRPr="0040793A" w:rsidRDefault="00047CDD" w:rsidP="00C75E33">
      <w:pPr>
        <w:spacing w:after="200" w:line="360" w:lineRule="auto"/>
        <w:ind w:right="804"/>
        <w:jc w:val="center"/>
        <w:rPr>
          <w:rFonts w:ascii="Times New Roman" w:eastAsia="Calibri" w:hAnsi="Times New Roman" w:cs="Times New Roman"/>
          <w:sz w:val="24"/>
          <w:szCs w:val="24"/>
          <w:lang w:val="en-MY"/>
        </w:rPr>
      </w:pPr>
      <w:r>
        <w:rPr>
          <w:rFonts w:ascii="Times New Roman" w:eastAsia="Calibri" w:hAnsi="Times New Roman" w:cs="Times New Roman"/>
          <w:sz w:val="24"/>
          <w:szCs w:val="24"/>
          <w:lang w:val="en-MY"/>
        </w:rPr>
        <w:t>Figure 5</w:t>
      </w:r>
      <w:r w:rsidR="0040793A" w:rsidRPr="0040793A">
        <w:rPr>
          <w:rFonts w:ascii="Times New Roman" w:eastAsia="Calibri" w:hAnsi="Times New Roman" w:cs="Times New Roman"/>
          <w:sz w:val="24"/>
          <w:szCs w:val="24"/>
          <w:lang w:val="en-MY"/>
        </w:rPr>
        <w:t xml:space="preserve"> SWOT Analysis on Mediation</w:t>
      </w:r>
      <w:bookmarkStart w:id="108" w:name="_Toc384074413"/>
      <w:bookmarkStart w:id="109" w:name="_Toc384219417"/>
      <w:bookmarkStart w:id="110" w:name="_Toc384274324"/>
      <w:bookmarkStart w:id="111" w:name="_Toc393167005"/>
    </w:p>
    <w:p w14:paraId="74C26160" w14:textId="77777777" w:rsidR="0040793A" w:rsidRPr="0040793A" w:rsidRDefault="0040793A" w:rsidP="0037074D">
      <w:pPr>
        <w:spacing w:after="200" w:line="360" w:lineRule="auto"/>
        <w:jc w:val="both"/>
        <w:outlineLvl w:val="1"/>
        <w:rPr>
          <w:rFonts w:ascii="Times New Roman" w:eastAsia="Calibri" w:hAnsi="Times New Roman" w:cs="Times New Roman"/>
          <w:b/>
          <w:sz w:val="24"/>
          <w:szCs w:val="24"/>
        </w:rPr>
      </w:pPr>
      <w:r w:rsidRPr="0040793A">
        <w:rPr>
          <w:rFonts w:ascii="Times New Roman" w:eastAsia="Calibri" w:hAnsi="Times New Roman" w:cs="Times New Roman"/>
          <w:b/>
          <w:sz w:val="24"/>
          <w:szCs w:val="24"/>
        </w:rPr>
        <w:lastRenderedPageBreak/>
        <w:t xml:space="preserve"> CONCLUSION</w:t>
      </w:r>
      <w:bookmarkEnd w:id="108"/>
      <w:bookmarkEnd w:id="109"/>
      <w:bookmarkEnd w:id="110"/>
      <w:bookmarkEnd w:id="111"/>
      <w:r w:rsidR="00DD46EC">
        <w:rPr>
          <w:rFonts w:ascii="Times New Roman" w:eastAsia="Calibri" w:hAnsi="Times New Roman" w:cs="Times New Roman"/>
          <w:b/>
          <w:sz w:val="24"/>
          <w:szCs w:val="24"/>
        </w:rPr>
        <w:t>/RECOMMENDATION</w:t>
      </w:r>
    </w:p>
    <w:p w14:paraId="601EA625" w14:textId="77777777" w:rsidR="00E54580" w:rsidRDefault="00337E59" w:rsidP="0037074D">
      <w:pPr>
        <w:spacing w:after="200" w:line="360" w:lineRule="auto"/>
        <w:jc w:val="both"/>
        <w:rPr>
          <w:rFonts w:ascii="Times New Roman" w:eastAsia="Calibri" w:hAnsi="Times New Roman" w:cs="Times New Roman"/>
          <w:sz w:val="24"/>
          <w:szCs w:val="24"/>
          <w:lang w:val="en-MY"/>
        </w:rPr>
      </w:pPr>
      <w:r>
        <w:rPr>
          <w:rFonts w:ascii="Times New Roman" w:eastAsia="Calibri" w:hAnsi="Times New Roman" w:cs="Times New Roman"/>
          <w:sz w:val="24"/>
          <w:szCs w:val="24"/>
          <w:lang w:val="en-MY"/>
        </w:rPr>
        <w:t>T</w:t>
      </w:r>
      <w:r w:rsidR="0040793A" w:rsidRPr="0040793A">
        <w:rPr>
          <w:rFonts w:ascii="Times New Roman" w:eastAsia="Calibri" w:hAnsi="Times New Roman" w:cs="Times New Roman"/>
          <w:sz w:val="24"/>
          <w:szCs w:val="24"/>
          <w:lang w:val="en-MY"/>
        </w:rPr>
        <w:t xml:space="preserve">he various dispute resolution mechanisms that exist presently in the Islamic finance industry in Malaysia are characterised by a rather balanced spread of strength, weaknesses, opportunities and threat factors. </w:t>
      </w:r>
      <w:r w:rsidR="00050A7B">
        <w:rPr>
          <w:rFonts w:ascii="Times New Roman" w:eastAsia="Calibri" w:hAnsi="Times New Roman" w:cs="Times New Roman"/>
          <w:sz w:val="24"/>
          <w:szCs w:val="24"/>
          <w:lang w:val="en-MY"/>
        </w:rPr>
        <w:t>However</w:t>
      </w:r>
      <w:r w:rsidR="00C75E33">
        <w:rPr>
          <w:rFonts w:ascii="Times New Roman" w:eastAsia="Calibri" w:hAnsi="Times New Roman" w:cs="Times New Roman"/>
          <w:sz w:val="24"/>
          <w:szCs w:val="24"/>
          <w:lang w:val="en-MY"/>
        </w:rPr>
        <w:t>,</w:t>
      </w:r>
      <w:r w:rsidR="00050A7B">
        <w:rPr>
          <w:rFonts w:ascii="Times New Roman" w:eastAsia="Calibri" w:hAnsi="Times New Roman" w:cs="Times New Roman"/>
          <w:sz w:val="24"/>
          <w:szCs w:val="24"/>
          <w:lang w:val="en-MY"/>
        </w:rPr>
        <w:t xml:space="preserve"> this study finds that the court process as a mechanism for resolving Islamic finance disputes is not appropriate based on the weaknesses </w:t>
      </w:r>
      <w:r w:rsidR="00C75E33">
        <w:rPr>
          <w:rFonts w:ascii="Times New Roman" w:eastAsia="Calibri" w:hAnsi="Times New Roman" w:cs="Times New Roman"/>
          <w:sz w:val="24"/>
          <w:szCs w:val="24"/>
          <w:lang w:val="en-MY"/>
        </w:rPr>
        <w:t xml:space="preserve">of the mechanism </w:t>
      </w:r>
      <w:r w:rsidR="00050A7B">
        <w:rPr>
          <w:rFonts w:ascii="Times New Roman" w:eastAsia="Calibri" w:hAnsi="Times New Roman" w:cs="Times New Roman"/>
          <w:sz w:val="24"/>
          <w:szCs w:val="24"/>
          <w:lang w:val="en-MY"/>
        </w:rPr>
        <w:t>identified.</w:t>
      </w:r>
      <w:r w:rsidR="00E54580">
        <w:rPr>
          <w:rFonts w:ascii="Times New Roman" w:eastAsia="Calibri" w:hAnsi="Times New Roman" w:cs="Times New Roman"/>
          <w:sz w:val="24"/>
          <w:szCs w:val="24"/>
          <w:lang w:val="en-MY"/>
        </w:rPr>
        <w:t xml:space="preserve"> The study further finds that the much acclaimed alternative to the court process, arbitration, in resolving Islamic finance disputes is also beginning to be </w:t>
      </w:r>
      <w:r w:rsidR="00C75E33">
        <w:rPr>
          <w:rFonts w:ascii="Times New Roman" w:eastAsia="Calibri" w:hAnsi="Times New Roman" w:cs="Times New Roman"/>
          <w:sz w:val="24"/>
          <w:szCs w:val="24"/>
          <w:lang w:val="en-MY"/>
        </w:rPr>
        <w:t>engrossed with some weaknesses and</w:t>
      </w:r>
      <w:r w:rsidR="00E54580">
        <w:rPr>
          <w:rFonts w:ascii="Times New Roman" w:eastAsia="Calibri" w:hAnsi="Times New Roman" w:cs="Times New Roman"/>
          <w:sz w:val="24"/>
          <w:szCs w:val="24"/>
          <w:lang w:val="en-MY"/>
        </w:rPr>
        <w:t xml:space="preserve"> threats</w:t>
      </w:r>
      <w:r w:rsidR="00C75E33">
        <w:rPr>
          <w:rFonts w:ascii="Times New Roman" w:eastAsia="Calibri" w:hAnsi="Times New Roman" w:cs="Times New Roman"/>
          <w:sz w:val="24"/>
          <w:szCs w:val="24"/>
          <w:lang w:val="en-MY"/>
        </w:rPr>
        <w:t xml:space="preserve"> that goes</w:t>
      </w:r>
      <w:r w:rsidR="00E54580">
        <w:rPr>
          <w:rFonts w:ascii="Times New Roman" w:eastAsia="Calibri" w:hAnsi="Times New Roman" w:cs="Times New Roman"/>
          <w:sz w:val="24"/>
          <w:szCs w:val="24"/>
          <w:lang w:val="en-MY"/>
        </w:rPr>
        <w:t xml:space="preserve"> to the overall achievement of amicable settlement of Islamic finance dis</w:t>
      </w:r>
      <w:r w:rsidR="000B19FE">
        <w:rPr>
          <w:rFonts w:ascii="Times New Roman" w:eastAsia="Calibri" w:hAnsi="Times New Roman" w:cs="Times New Roman"/>
          <w:sz w:val="24"/>
          <w:szCs w:val="24"/>
          <w:lang w:val="en-MY"/>
        </w:rPr>
        <w:t>p</w:t>
      </w:r>
      <w:r w:rsidR="00E54580">
        <w:rPr>
          <w:rFonts w:ascii="Times New Roman" w:eastAsia="Calibri" w:hAnsi="Times New Roman" w:cs="Times New Roman"/>
          <w:sz w:val="24"/>
          <w:szCs w:val="24"/>
          <w:lang w:val="en-MY"/>
        </w:rPr>
        <w:t>utes.</w:t>
      </w:r>
    </w:p>
    <w:p w14:paraId="12D8C677" w14:textId="77777777" w:rsidR="0040793A" w:rsidRPr="0040793A" w:rsidRDefault="00C75E33" w:rsidP="0037074D">
      <w:pPr>
        <w:spacing w:after="200" w:line="360" w:lineRule="auto"/>
        <w:jc w:val="both"/>
        <w:rPr>
          <w:rFonts w:ascii="Times New Roman" w:eastAsia="Calibri" w:hAnsi="Times New Roman" w:cs="Times New Roman"/>
          <w:sz w:val="24"/>
          <w:szCs w:val="24"/>
          <w:lang w:val="en-MY"/>
        </w:rPr>
      </w:pPr>
      <w:r>
        <w:rPr>
          <w:rFonts w:ascii="Times New Roman" w:eastAsia="Calibri" w:hAnsi="Times New Roman" w:cs="Times New Roman"/>
          <w:sz w:val="24"/>
          <w:szCs w:val="24"/>
          <w:lang w:val="en-MY"/>
        </w:rPr>
        <w:t>To maximize the</w:t>
      </w:r>
      <w:r w:rsidR="0040793A" w:rsidRPr="0040793A">
        <w:rPr>
          <w:rFonts w:ascii="Times New Roman" w:eastAsia="Calibri" w:hAnsi="Times New Roman" w:cs="Times New Roman"/>
          <w:sz w:val="24"/>
          <w:szCs w:val="24"/>
          <w:lang w:val="en-MY"/>
        </w:rPr>
        <w:t xml:space="preserve"> use </w:t>
      </w:r>
      <w:r>
        <w:rPr>
          <w:rFonts w:ascii="Times New Roman" w:eastAsia="Calibri" w:hAnsi="Times New Roman" w:cs="Times New Roman"/>
          <w:sz w:val="24"/>
          <w:szCs w:val="24"/>
          <w:lang w:val="en-MY"/>
        </w:rPr>
        <w:t xml:space="preserve">of these dispute resolution mechanisms </w:t>
      </w:r>
      <w:r w:rsidR="0040793A" w:rsidRPr="0040793A">
        <w:rPr>
          <w:rFonts w:ascii="Times New Roman" w:eastAsia="Calibri" w:hAnsi="Times New Roman" w:cs="Times New Roman"/>
          <w:sz w:val="24"/>
          <w:szCs w:val="24"/>
          <w:lang w:val="en-MY"/>
        </w:rPr>
        <w:t>therefore, the Islamic finance industry needs to incorporate advanced legal framework to better serve the rising expectation of the stakeholders in the industry. Undoubtedly, this step will need a more comprehensive harnessing of the Islamic model of dispute resolution.</w:t>
      </w:r>
      <w:r w:rsidR="00337E59">
        <w:rPr>
          <w:rFonts w:ascii="Times New Roman" w:eastAsia="Calibri" w:hAnsi="Times New Roman" w:cs="Times New Roman"/>
          <w:sz w:val="24"/>
          <w:szCs w:val="24"/>
          <w:lang w:val="en-MY"/>
        </w:rPr>
        <w:t xml:space="preserve"> Hence, it is recommended that</w:t>
      </w:r>
      <w:r w:rsidR="00050A7B">
        <w:rPr>
          <w:rFonts w:ascii="Times New Roman" w:eastAsia="Calibri" w:hAnsi="Times New Roman" w:cs="Times New Roman"/>
          <w:sz w:val="24"/>
          <w:szCs w:val="24"/>
          <w:lang w:val="en-MY"/>
        </w:rPr>
        <w:t xml:space="preserve"> the indust</w:t>
      </w:r>
      <w:r w:rsidR="00451CA5">
        <w:rPr>
          <w:rFonts w:ascii="Times New Roman" w:eastAsia="Calibri" w:hAnsi="Times New Roman" w:cs="Times New Roman"/>
          <w:sz w:val="24"/>
          <w:szCs w:val="24"/>
          <w:lang w:val="en-MY"/>
        </w:rPr>
        <w:t xml:space="preserve">ry backs on the strengths of </w:t>
      </w:r>
      <w:r>
        <w:rPr>
          <w:rFonts w:ascii="Times New Roman" w:eastAsia="Calibri" w:hAnsi="Times New Roman" w:cs="Times New Roman"/>
          <w:sz w:val="24"/>
          <w:szCs w:val="24"/>
          <w:lang w:val="en-MY"/>
        </w:rPr>
        <w:t xml:space="preserve">these dispute resolution </w:t>
      </w:r>
      <w:r w:rsidR="00050A7B">
        <w:rPr>
          <w:rFonts w:ascii="Times New Roman" w:eastAsia="Calibri" w:hAnsi="Times New Roman" w:cs="Times New Roman"/>
          <w:sz w:val="24"/>
          <w:szCs w:val="24"/>
          <w:lang w:val="en-MY"/>
        </w:rPr>
        <w:t xml:space="preserve">mechanisms and explore the opportunities </w:t>
      </w:r>
      <w:r>
        <w:rPr>
          <w:rFonts w:ascii="Times New Roman" w:eastAsia="Calibri" w:hAnsi="Times New Roman" w:cs="Times New Roman"/>
          <w:sz w:val="24"/>
          <w:szCs w:val="24"/>
          <w:lang w:val="en-MY"/>
        </w:rPr>
        <w:t xml:space="preserve">they present </w:t>
      </w:r>
      <w:r w:rsidR="00050A7B">
        <w:rPr>
          <w:rFonts w:ascii="Times New Roman" w:eastAsia="Calibri" w:hAnsi="Times New Roman" w:cs="Times New Roman"/>
          <w:sz w:val="24"/>
          <w:szCs w:val="24"/>
          <w:lang w:val="en-MY"/>
        </w:rPr>
        <w:t xml:space="preserve">in order to achieve a better adjudication of Islamic finance disputes </w:t>
      </w:r>
      <w:r w:rsidR="00DD46EC">
        <w:rPr>
          <w:rFonts w:ascii="Times New Roman" w:eastAsia="Calibri" w:hAnsi="Times New Roman" w:cs="Times New Roman"/>
          <w:sz w:val="24"/>
          <w:szCs w:val="24"/>
          <w:lang w:val="en-MY"/>
        </w:rPr>
        <w:t>that will in the long run ensure</w:t>
      </w:r>
      <w:r w:rsidR="00050A7B">
        <w:rPr>
          <w:rFonts w:ascii="Times New Roman" w:eastAsia="Calibri" w:hAnsi="Times New Roman" w:cs="Times New Roman"/>
          <w:sz w:val="24"/>
          <w:szCs w:val="24"/>
          <w:lang w:val="en-MY"/>
        </w:rPr>
        <w:t xml:space="preserve"> the stability of the </w:t>
      </w:r>
      <w:r w:rsidR="00DD46EC">
        <w:rPr>
          <w:rFonts w:ascii="Times New Roman" w:eastAsia="Calibri" w:hAnsi="Times New Roman" w:cs="Times New Roman"/>
          <w:sz w:val="24"/>
          <w:szCs w:val="24"/>
          <w:lang w:val="en-MY"/>
        </w:rPr>
        <w:t xml:space="preserve">Islamic finance </w:t>
      </w:r>
      <w:r w:rsidR="00050A7B">
        <w:rPr>
          <w:rFonts w:ascii="Times New Roman" w:eastAsia="Calibri" w:hAnsi="Times New Roman" w:cs="Times New Roman"/>
          <w:sz w:val="24"/>
          <w:szCs w:val="24"/>
          <w:lang w:val="en-MY"/>
        </w:rPr>
        <w:t xml:space="preserve">industry in Malaysia. </w:t>
      </w:r>
    </w:p>
    <w:sectPr w:rsidR="0040793A" w:rsidRPr="0040793A">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83EFE2" w14:textId="77777777" w:rsidR="00C072AE" w:rsidRDefault="00C072AE" w:rsidP="0040793A">
      <w:pPr>
        <w:spacing w:after="0" w:line="240" w:lineRule="auto"/>
      </w:pPr>
      <w:r>
        <w:separator/>
      </w:r>
    </w:p>
  </w:endnote>
  <w:endnote w:type="continuationSeparator" w:id="0">
    <w:p w14:paraId="251BA23D" w14:textId="77777777" w:rsidR="00C072AE" w:rsidRDefault="00C072AE" w:rsidP="004079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5A5659" w14:textId="77777777" w:rsidR="00C072AE" w:rsidRDefault="00C072AE" w:rsidP="0040793A">
      <w:pPr>
        <w:spacing w:after="0" w:line="240" w:lineRule="auto"/>
      </w:pPr>
      <w:r>
        <w:separator/>
      </w:r>
    </w:p>
  </w:footnote>
  <w:footnote w:type="continuationSeparator" w:id="0">
    <w:p w14:paraId="6D19EB8D" w14:textId="77777777" w:rsidR="00C072AE" w:rsidRDefault="00C072AE" w:rsidP="0040793A">
      <w:pPr>
        <w:spacing w:after="0" w:line="240" w:lineRule="auto"/>
      </w:pPr>
      <w:r>
        <w:continuationSeparator/>
      </w:r>
    </w:p>
  </w:footnote>
  <w:footnote w:id="1">
    <w:p w14:paraId="48056E5B" w14:textId="77777777" w:rsidR="0056189A" w:rsidRPr="00320E9E" w:rsidRDefault="0056189A" w:rsidP="0056189A">
      <w:pPr>
        <w:pStyle w:val="FootnoteText"/>
        <w:jc w:val="both"/>
        <w:rPr>
          <w:lang w:val="en-MY"/>
        </w:rPr>
      </w:pPr>
      <w:r w:rsidRPr="00320E9E">
        <w:rPr>
          <w:rStyle w:val="FootnoteReference"/>
        </w:rPr>
        <w:footnoteRef/>
      </w:r>
      <w:r>
        <w:t xml:space="preserve"> </w:t>
      </w:r>
      <w:r w:rsidRPr="00320E9E">
        <w:t xml:space="preserve">Muhammad bin Ibrahim, “The polemics of governing law in Islamic finance – recent developments and the way forward”, </w:t>
      </w:r>
      <w:r>
        <w:t>paper presented at t</w:t>
      </w:r>
      <w:r w:rsidRPr="00ED5B1D">
        <w:t>he International Sharī‘ah Research Academy for Islamic Finance-Institute of Islamic Banking and Insurance (ISRA-IIBI) 2nd Annual International Thematic Workshop</w:t>
      </w:r>
      <w:r w:rsidR="00714868">
        <w:t>, (ISRA-IIBI</w:t>
      </w:r>
      <w:r w:rsidRPr="00ED5B1D">
        <w:t xml:space="preserve"> London</w:t>
      </w:r>
      <w:r w:rsidR="00714868">
        <w:t xml:space="preserve"> </w:t>
      </w:r>
      <w:r>
        <w:t>2010)</w:t>
      </w:r>
      <w:r w:rsidRPr="00320E9E">
        <w:t xml:space="preserve">2-3. </w:t>
      </w:r>
    </w:p>
  </w:footnote>
  <w:footnote w:id="2">
    <w:p w14:paraId="136783FC" w14:textId="77777777" w:rsidR="0040793A" w:rsidRPr="00320E9E" w:rsidRDefault="0040793A" w:rsidP="0040793A">
      <w:pPr>
        <w:pStyle w:val="FootnoteText"/>
        <w:jc w:val="both"/>
        <w:rPr>
          <w:lang w:val="en-MY"/>
        </w:rPr>
      </w:pPr>
      <w:r w:rsidRPr="00320E9E">
        <w:rPr>
          <w:rStyle w:val="FootnoteReference"/>
        </w:rPr>
        <w:footnoteRef/>
      </w:r>
      <w:r w:rsidRPr="00320E9E">
        <w:t xml:space="preserve"> </w:t>
      </w:r>
      <w:r w:rsidRPr="00320E9E">
        <w:rPr>
          <w:lang w:val="en-MY"/>
        </w:rPr>
        <w:t xml:space="preserve">Nadine Pahl and Anne Ritcher, </w:t>
      </w:r>
      <w:r w:rsidRPr="00714868">
        <w:rPr>
          <w:lang w:val="en-MY"/>
        </w:rPr>
        <w:t>Swot analysis-idea, methodology and a practical approach</w:t>
      </w:r>
      <w:r>
        <w:rPr>
          <w:lang w:val="en-MY"/>
        </w:rPr>
        <w:t xml:space="preserve"> </w:t>
      </w:r>
      <w:r w:rsidR="00714868">
        <w:rPr>
          <w:lang w:val="en-MY"/>
        </w:rPr>
        <w:t>(Grin Verlag</w:t>
      </w:r>
      <w:r>
        <w:rPr>
          <w:lang w:val="en-MY"/>
        </w:rPr>
        <w:t xml:space="preserve"> 2009</w:t>
      </w:r>
      <w:r w:rsidR="00714868">
        <w:rPr>
          <w:lang w:val="en-MY"/>
        </w:rPr>
        <w:t>)</w:t>
      </w:r>
      <w:r w:rsidRPr="00320E9E">
        <w:rPr>
          <w:lang w:val="en-MY"/>
        </w:rPr>
        <w:t>27. See also, Ma</w:t>
      </w:r>
      <w:r w:rsidR="00714868">
        <w:rPr>
          <w:lang w:val="en-MY"/>
        </w:rPr>
        <w:t>rilyn M. Helms and Judy Nixon, ‘</w:t>
      </w:r>
      <w:r w:rsidRPr="00320E9E">
        <w:rPr>
          <w:lang w:val="en-MY"/>
        </w:rPr>
        <w:t>Exploring SWOT analysis-where are we now?: A review of  academic</w:t>
      </w:r>
      <w:r w:rsidR="00714868">
        <w:rPr>
          <w:lang w:val="en-MY"/>
        </w:rPr>
        <w:t xml:space="preserve"> research from the last decade’ [2010]</w:t>
      </w:r>
      <w:r>
        <w:rPr>
          <w:lang w:val="en-MY"/>
        </w:rPr>
        <w:t>3</w:t>
      </w:r>
      <w:r w:rsidR="00714868">
        <w:rPr>
          <w:lang w:val="en-MY"/>
        </w:rPr>
        <w:t>(</w:t>
      </w:r>
      <w:r>
        <w:rPr>
          <w:lang w:val="en-MY"/>
        </w:rPr>
        <w:t>3</w:t>
      </w:r>
      <w:r w:rsidR="00714868">
        <w:rPr>
          <w:lang w:val="en-MY"/>
        </w:rPr>
        <w:t>)</w:t>
      </w:r>
      <w:r>
        <w:rPr>
          <w:lang w:val="en-MY"/>
        </w:rPr>
        <w:t xml:space="preserve"> </w:t>
      </w:r>
      <w:r w:rsidRPr="00714868">
        <w:rPr>
          <w:lang w:val="en-MY"/>
        </w:rPr>
        <w:t>Journal of strategy and management</w:t>
      </w:r>
      <w:r w:rsidRPr="00BA40BE">
        <w:rPr>
          <w:i/>
          <w:lang w:val="en-MY"/>
        </w:rPr>
        <w:t xml:space="preserve"> </w:t>
      </w:r>
      <w:r w:rsidRPr="00320E9E">
        <w:rPr>
          <w:lang w:val="en-MY"/>
        </w:rPr>
        <w:t>215.</w:t>
      </w:r>
    </w:p>
  </w:footnote>
  <w:footnote w:id="3">
    <w:p w14:paraId="053F15BF" w14:textId="77777777" w:rsidR="0040793A" w:rsidRPr="00320E9E" w:rsidRDefault="0040793A" w:rsidP="0040793A">
      <w:pPr>
        <w:pStyle w:val="FootnoteText"/>
        <w:jc w:val="both"/>
      </w:pPr>
      <w:r w:rsidRPr="00320E9E">
        <w:rPr>
          <w:rStyle w:val="FootnoteReference"/>
        </w:rPr>
        <w:footnoteRef/>
      </w:r>
      <w:r w:rsidRPr="00320E9E">
        <w:t xml:space="preserve"> Ibid.</w:t>
      </w:r>
    </w:p>
  </w:footnote>
  <w:footnote w:id="4">
    <w:p w14:paraId="6031E088" w14:textId="77777777" w:rsidR="0040793A" w:rsidRPr="00320E9E" w:rsidRDefault="0040793A" w:rsidP="0040793A">
      <w:pPr>
        <w:pStyle w:val="FootnoteText"/>
        <w:jc w:val="both"/>
      </w:pPr>
      <w:r w:rsidRPr="00320E9E">
        <w:rPr>
          <w:rStyle w:val="FootnoteReference"/>
        </w:rPr>
        <w:footnoteRef/>
      </w:r>
      <w:r w:rsidRPr="00320E9E">
        <w:t xml:space="preserve"> Umar A. Oseni, “Effective Dispute Resolution in Takaful-Related Cases: A Case Study of the Financial Mediation Bureau in Malaysia”, </w:t>
      </w:r>
      <w:r>
        <w:t>paper presented at t</w:t>
      </w:r>
      <w:r w:rsidRPr="00EE2DD8">
        <w:t xml:space="preserve">he 9th International Conference on Islamic Economics and Finance, 9-10 September 2013, </w:t>
      </w:r>
      <w:r>
        <w:t xml:space="preserve">organised by </w:t>
      </w:r>
      <w:r w:rsidRPr="0097018A">
        <w:t>Center for Islamic Economics and Finance Qatar Faculty of Islamic Studies</w:t>
      </w:r>
      <w:r>
        <w:t xml:space="preserve"> and </w:t>
      </w:r>
      <w:r w:rsidRPr="0097018A">
        <w:t>Islamic Resear</w:t>
      </w:r>
      <w:r w:rsidR="00714868">
        <w:t>ch and Training Institute (IRTI</w:t>
      </w:r>
      <w:r w:rsidRPr="0097018A">
        <w:t> </w:t>
      </w:r>
      <w:r w:rsidRPr="00EE2DD8">
        <w:t>Istanbul, Turkey</w:t>
      </w:r>
      <w:r w:rsidR="00714868">
        <w:rPr>
          <w:i/>
          <w:iCs/>
        </w:rPr>
        <w:t xml:space="preserve">, </w:t>
      </w:r>
      <w:r w:rsidR="00714868">
        <w:t>2013)</w:t>
      </w:r>
      <w:r w:rsidRPr="00320E9E">
        <w:t>8.</w:t>
      </w:r>
    </w:p>
  </w:footnote>
  <w:footnote w:id="5">
    <w:p w14:paraId="747F9852" w14:textId="77777777" w:rsidR="0040793A" w:rsidRPr="00320E9E" w:rsidRDefault="0040793A" w:rsidP="0040793A">
      <w:pPr>
        <w:pStyle w:val="FootnoteText"/>
        <w:jc w:val="both"/>
      </w:pPr>
      <w:r w:rsidRPr="00320E9E">
        <w:rPr>
          <w:rStyle w:val="FootnoteReference"/>
        </w:rPr>
        <w:footnoteRef/>
      </w:r>
      <w:r>
        <w:t xml:space="preserve"> </w:t>
      </w:r>
      <w:r w:rsidRPr="00320E9E">
        <w:t>Phillip M. Ar</w:t>
      </w:r>
      <w:r w:rsidR="00714868">
        <w:t>mstrong, ‘</w:t>
      </w:r>
      <w:r>
        <w:t>Why We Still Litigate</w:t>
      </w:r>
      <w:r w:rsidR="00714868">
        <w:t>’</w:t>
      </w:r>
      <w:r w:rsidRPr="00320E9E">
        <w:t xml:space="preserve"> </w:t>
      </w:r>
      <w:r w:rsidR="00714868">
        <w:t>[2008]</w:t>
      </w:r>
      <w:r w:rsidRPr="00320E9E">
        <w:t>8</w:t>
      </w:r>
      <w:r>
        <w:t xml:space="preserve"> </w:t>
      </w:r>
      <w:r w:rsidR="00714868">
        <w:t>(</w:t>
      </w:r>
      <w:r>
        <w:t>3</w:t>
      </w:r>
      <w:r w:rsidR="00714868">
        <w:t>)</w:t>
      </w:r>
      <w:r w:rsidRPr="00FC6655">
        <w:t xml:space="preserve"> </w:t>
      </w:r>
      <w:r w:rsidRPr="00714868">
        <w:rPr>
          <w:iCs/>
        </w:rPr>
        <w:t>Pepp. Disp. Resol. L.J</w:t>
      </w:r>
      <w:r w:rsidRPr="00714868">
        <w:t>.</w:t>
      </w:r>
      <w:r w:rsidRPr="00FC6655">
        <w:t xml:space="preserve"> </w:t>
      </w:r>
      <w:r>
        <w:t>5.</w:t>
      </w:r>
    </w:p>
  </w:footnote>
  <w:footnote w:id="6">
    <w:p w14:paraId="5E03769A" w14:textId="77777777" w:rsidR="0040793A" w:rsidRPr="00CC03FC" w:rsidRDefault="0040793A" w:rsidP="0040793A">
      <w:pPr>
        <w:pStyle w:val="FootnoteText"/>
        <w:jc w:val="both"/>
        <w:rPr>
          <w:i/>
        </w:rPr>
      </w:pPr>
      <w:r w:rsidRPr="00320E9E">
        <w:rPr>
          <w:rStyle w:val="FootnoteReference"/>
        </w:rPr>
        <w:footnoteRef/>
      </w:r>
      <w:r w:rsidRPr="00320E9E">
        <w:t xml:space="preserve"> Hakimah Yaacob, </w:t>
      </w:r>
      <w:r w:rsidRPr="00714868">
        <w:t>Alternative Dispute Resolution (ADR): Expanding Options in Local and Cross Border Islamic Finance Cases,</w:t>
      </w:r>
      <w:r>
        <w:rPr>
          <w:i/>
        </w:rPr>
        <w:t xml:space="preserve"> </w:t>
      </w:r>
      <w:r w:rsidR="00714868">
        <w:t>(</w:t>
      </w:r>
      <w:r w:rsidRPr="00320E9E">
        <w:t xml:space="preserve">International Shari’ah Research Academy for </w:t>
      </w:r>
      <w:r>
        <w:t>Islamic Finance, 2012</w:t>
      </w:r>
      <w:r w:rsidR="00714868">
        <w:t>)</w:t>
      </w:r>
      <w:r w:rsidRPr="00320E9E">
        <w:t>18</w:t>
      </w:r>
      <w:r>
        <w:t>.</w:t>
      </w:r>
    </w:p>
  </w:footnote>
  <w:footnote w:id="7">
    <w:p w14:paraId="45E9D2AD" w14:textId="77777777" w:rsidR="0040793A" w:rsidRPr="00320E9E" w:rsidRDefault="0040793A" w:rsidP="0040793A">
      <w:pPr>
        <w:pStyle w:val="FootnoteText"/>
        <w:jc w:val="both"/>
        <w:rPr>
          <w:lang w:val="en-MY"/>
        </w:rPr>
      </w:pPr>
      <w:r w:rsidRPr="00320E9E">
        <w:rPr>
          <w:rStyle w:val="FootnoteReference"/>
        </w:rPr>
        <w:footnoteRef/>
      </w:r>
      <w:r w:rsidRPr="00320E9E">
        <w:t xml:space="preserve"> </w:t>
      </w:r>
      <w:r w:rsidR="00714868">
        <w:rPr>
          <w:lang w:val="en-MY"/>
        </w:rPr>
        <w:t>Abdul Hamid Mohammad, ‘</w:t>
      </w:r>
      <w:r w:rsidRPr="00320E9E">
        <w:rPr>
          <w:lang w:val="en-MY"/>
        </w:rPr>
        <w:t>Malaysia as an Islamic Finance hub: Malaysian Law as the Law of Reference and Malaysian Courts as the F</w:t>
      </w:r>
      <w:r w:rsidR="00714868">
        <w:rPr>
          <w:lang w:val="en-MY"/>
        </w:rPr>
        <w:t>orum for Settlement of Disputes’</w:t>
      </w:r>
      <w:r w:rsidRPr="00320E9E">
        <w:rPr>
          <w:lang w:val="en-MY"/>
        </w:rPr>
        <w:t xml:space="preserve">, </w:t>
      </w:r>
      <w:r>
        <w:rPr>
          <w:lang w:val="en-MY"/>
        </w:rPr>
        <w:t>paper presented at t</w:t>
      </w:r>
      <w:r w:rsidRPr="00986F32">
        <w:rPr>
          <w:lang w:val="en-MY"/>
        </w:rPr>
        <w:t>he 12</w:t>
      </w:r>
      <w:r w:rsidRPr="00986F32">
        <w:rPr>
          <w:vertAlign w:val="superscript"/>
          <w:lang w:val="en-MY"/>
        </w:rPr>
        <w:t>th</w:t>
      </w:r>
      <w:r w:rsidRPr="00986F32">
        <w:rPr>
          <w:lang w:val="en-MY"/>
        </w:rPr>
        <w:t xml:space="preserve"> Emeritus Prof. Ahmad Ibrahim Memorial Lecture</w:t>
      </w:r>
      <w:r>
        <w:rPr>
          <w:i/>
          <w:iCs/>
          <w:lang w:val="en-MY"/>
        </w:rPr>
        <w:t xml:space="preserve">, </w:t>
      </w:r>
      <w:r>
        <w:rPr>
          <w:lang w:val="en-MY"/>
        </w:rPr>
        <w:t xml:space="preserve">organised by </w:t>
      </w:r>
      <w:r w:rsidR="00714868">
        <w:rPr>
          <w:lang w:val="en-MY"/>
        </w:rPr>
        <w:t>(</w:t>
      </w:r>
      <w:r>
        <w:rPr>
          <w:lang w:val="en-MY"/>
        </w:rPr>
        <w:t>Ahmad Ibrahim Ku</w:t>
      </w:r>
      <w:r w:rsidR="00172A0D">
        <w:rPr>
          <w:lang w:val="en-MY"/>
        </w:rPr>
        <w:t>lliyyah of Laws, Kuala Lumpur,</w:t>
      </w:r>
      <w:r w:rsidR="00714868">
        <w:rPr>
          <w:lang w:val="en-MY"/>
        </w:rPr>
        <w:t xml:space="preserve"> 2011)</w:t>
      </w:r>
      <w:r w:rsidRPr="00320E9E">
        <w:rPr>
          <w:lang w:val="en-MY"/>
        </w:rPr>
        <w:t xml:space="preserve"> 88.</w:t>
      </w:r>
    </w:p>
  </w:footnote>
  <w:footnote w:id="8">
    <w:p w14:paraId="364423CB" w14:textId="77777777" w:rsidR="0040793A" w:rsidRPr="00320E9E" w:rsidRDefault="0040793A" w:rsidP="0040793A">
      <w:pPr>
        <w:pStyle w:val="FootnoteText"/>
        <w:jc w:val="both"/>
      </w:pPr>
      <w:r w:rsidRPr="00320E9E">
        <w:rPr>
          <w:rStyle w:val="FootnoteReference"/>
        </w:rPr>
        <w:footnoteRef/>
      </w:r>
      <w:r w:rsidRPr="00320E9E">
        <w:t xml:space="preserve"> Ibid.</w:t>
      </w:r>
    </w:p>
  </w:footnote>
  <w:footnote w:id="9">
    <w:p w14:paraId="6F1E00A1" w14:textId="77777777" w:rsidR="0040793A" w:rsidRPr="002354CD" w:rsidRDefault="0040793A" w:rsidP="0040793A">
      <w:pPr>
        <w:pStyle w:val="FootnoteText"/>
      </w:pPr>
      <w:r>
        <w:rPr>
          <w:rStyle w:val="FootnoteReference"/>
        </w:rPr>
        <w:footnoteRef/>
      </w:r>
      <w:r>
        <w:t xml:space="preserve"> </w:t>
      </w:r>
      <w:r w:rsidRPr="003B657A">
        <w:rPr>
          <w:lang w:val="en-MY"/>
        </w:rPr>
        <w:t xml:space="preserve">Roger Fisher and William Ury, </w:t>
      </w:r>
      <w:r w:rsidRPr="00172A0D">
        <w:rPr>
          <w:iCs/>
          <w:lang w:val="en-MY"/>
        </w:rPr>
        <w:t>Negotiation Agreement Without Giving In</w:t>
      </w:r>
      <w:r>
        <w:rPr>
          <w:i/>
          <w:iCs/>
          <w:lang w:val="en-MY"/>
        </w:rPr>
        <w:t>,</w:t>
      </w:r>
      <w:r>
        <w:rPr>
          <w:lang w:val="en-MY"/>
        </w:rPr>
        <w:t xml:space="preserve"> </w:t>
      </w:r>
      <w:r w:rsidR="00172A0D">
        <w:rPr>
          <w:lang w:val="en-MY"/>
        </w:rPr>
        <w:t>(Penguin Group</w:t>
      </w:r>
      <w:r>
        <w:rPr>
          <w:lang w:val="en-MY"/>
        </w:rPr>
        <w:t xml:space="preserve"> 1981</w:t>
      </w:r>
      <w:r w:rsidR="00172A0D">
        <w:rPr>
          <w:lang w:val="en-MY"/>
        </w:rPr>
        <w:t>)</w:t>
      </w:r>
      <w:r w:rsidRPr="003B657A">
        <w:rPr>
          <w:lang w:val="en-MY"/>
        </w:rPr>
        <w:t xml:space="preserve"> 6.</w:t>
      </w:r>
    </w:p>
  </w:footnote>
  <w:footnote w:id="10">
    <w:p w14:paraId="6D0B112E" w14:textId="77777777" w:rsidR="0040793A" w:rsidRPr="00320E9E" w:rsidRDefault="0040793A" w:rsidP="0040793A">
      <w:pPr>
        <w:pStyle w:val="FootnoteText"/>
        <w:jc w:val="both"/>
      </w:pPr>
      <w:r w:rsidRPr="00320E9E">
        <w:rPr>
          <w:rStyle w:val="FootnoteReference"/>
        </w:rPr>
        <w:footnoteRef/>
      </w:r>
      <w:r w:rsidRPr="00320E9E">
        <w:t>Arthur Mazirow</w:t>
      </w:r>
      <w:r w:rsidR="00172A0D">
        <w:t>, ‘</w:t>
      </w:r>
      <w:r w:rsidRPr="00320E9E">
        <w:t>The advantages and Disadvantages of Arbitra</w:t>
      </w:r>
      <w:r w:rsidR="00172A0D">
        <w:t>tion as Compared to Litigation’</w:t>
      </w:r>
      <w:r w:rsidRPr="00320E9E">
        <w:t xml:space="preserve"> </w:t>
      </w:r>
      <w:r>
        <w:t>paper p</w:t>
      </w:r>
      <w:r w:rsidRPr="009423AF">
        <w:rPr>
          <w:iCs/>
        </w:rPr>
        <w:t>resented to the Counsellors of Real Estate</w:t>
      </w:r>
      <w:r>
        <w:t xml:space="preserve"> </w:t>
      </w:r>
      <w:r w:rsidR="00172A0D">
        <w:t>(</w:t>
      </w:r>
      <w:r w:rsidRPr="009B15A2">
        <w:t xml:space="preserve">Chicago, Ilinois. </w:t>
      </w:r>
      <w:r w:rsidRPr="00320E9E">
        <w:t>April 13, 2008</w:t>
      </w:r>
      <w:r>
        <w:t>) 3.</w:t>
      </w:r>
      <w:r w:rsidRPr="00320E9E">
        <w:t xml:space="preserve"> </w:t>
      </w:r>
    </w:p>
  </w:footnote>
  <w:footnote w:id="11">
    <w:p w14:paraId="5C9EF2BE" w14:textId="77777777" w:rsidR="0040793A" w:rsidRPr="00320E9E" w:rsidRDefault="0040793A" w:rsidP="0040793A">
      <w:pPr>
        <w:pStyle w:val="FootnoteText"/>
        <w:jc w:val="both"/>
      </w:pPr>
      <w:r w:rsidRPr="00320E9E">
        <w:rPr>
          <w:rStyle w:val="FootnoteReference"/>
        </w:rPr>
        <w:footnoteRef/>
      </w:r>
      <w:r w:rsidRPr="00320E9E">
        <w:t xml:space="preserve"> </w:t>
      </w:r>
      <w:r w:rsidR="00172A0D" w:rsidRPr="00172A0D">
        <w:t>Hakimah Yaacob, Alternative Dispute Resolution (ADR): Expanding Options in Local and Cross Border Islamic Finance Cases,</w:t>
      </w:r>
      <w:r w:rsidR="00172A0D" w:rsidRPr="00172A0D">
        <w:rPr>
          <w:i/>
        </w:rPr>
        <w:t xml:space="preserve"> </w:t>
      </w:r>
      <w:r w:rsidR="00172A0D" w:rsidRPr="00172A0D">
        <w:t>(International Shari’ah Research Academy for Islamic Finance, 2012)</w:t>
      </w:r>
      <w:r>
        <w:t xml:space="preserve">19. </w:t>
      </w:r>
      <w:r w:rsidRPr="00320E9E">
        <w:t xml:space="preserve"> </w:t>
      </w:r>
    </w:p>
  </w:footnote>
  <w:footnote w:id="12">
    <w:p w14:paraId="58D3458E" w14:textId="77777777" w:rsidR="0040793A" w:rsidRPr="00320E9E" w:rsidRDefault="0040793A" w:rsidP="0040793A">
      <w:pPr>
        <w:pStyle w:val="FootnoteText"/>
        <w:jc w:val="both"/>
      </w:pPr>
      <w:r w:rsidRPr="00320E9E">
        <w:rPr>
          <w:rStyle w:val="FootnoteReference"/>
        </w:rPr>
        <w:footnoteRef/>
      </w:r>
      <w:r w:rsidRPr="00320E9E">
        <w:t xml:space="preserve"> </w:t>
      </w:r>
      <w:r w:rsidRPr="00320E9E">
        <w:rPr>
          <w:i/>
        </w:rPr>
        <w:t xml:space="preserve"> </w:t>
      </w:r>
      <w:r w:rsidRPr="009B15A2">
        <w:rPr>
          <w:i/>
        </w:rPr>
        <w:t xml:space="preserve">Tan Sri Khalid bin Ibrahim v Bank Islam Malaysia Bhd </w:t>
      </w:r>
      <w:r w:rsidRPr="00320E9E">
        <w:t>[2012]7 MLJ 597.</w:t>
      </w:r>
    </w:p>
  </w:footnote>
  <w:footnote w:id="13">
    <w:p w14:paraId="3C202CF5" w14:textId="77777777" w:rsidR="0040793A" w:rsidRDefault="0040793A" w:rsidP="0040793A">
      <w:pPr>
        <w:pStyle w:val="FootnoteText"/>
      </w:pPr>
      <w:r>
        <w:rPr>
          <w:rStyle w:val="FootnoteReference"/>
        </w:rPr>
        <w:footnoteRef/>
      </w:r>
      <w:r>
        <w:t xml:space="preserve"> </w:t>
      </w:r>
      <w:r w:rsidRPr="003A4ABB">
        <w:t xml:space="preserve">The i-Arbitration Rules is the first set of Islamic arbitration rules in the world for the resolution of disputes arising from commercial contracts containing </w:t>
      </w:r>
      <w:r w:rsidRPr="003A4ABB">
        <w:rPr>
          <w:i/>
          <w:iCs/>
        </w:rPr>
        <w:t>Shari’ah</w:t>
      </w:r>
      <w:r>
        <w:t xml:space="preserve"> issues.</w:t>
      </w:r>
    </w:p>
  </w:footnote>
  <w:footnote w:id="14">
    <w:p w14:paraId="39697AB6" w14:textId="77777777" w:rsidR="0040793A" w:rsidRPr="00320E9E" w:rsidRDefault="0040793A" w:rsidP="0040793A">
      <w:pPr>
        <w:pStyle w:val="FootnoteText"/>
        <w:jc w:val="both"/>
        <w:rPr>
          <w:lang w:val="en-MY"/>
        </w:rPr>
      </w:pPr>
      <w:r w:rsidRPr="00320E9E">
        <w:rPr>
          <w:rStyle w:val="FootnoteReference"/>
        </w:rPr>
        <w:footnoteRef/>
      </w:r>
      <w:r>
        <w:rPr>
          <w:lang w:val="en-MY"/>
        </w:rPr>
        <w:t xml:space="preserve"> </w:t>
      </w:r>
      <w:r w:rsidRPr="00320E9E">
        <w:rPr>
          <w:lang w:val="en-MY"/>
        </w:rPr>
        <w:t>Rule</w:t>
      </w:r>
      <w:r>
        <w:rPr>
          <w:lang w:val="en-MY"/>
        </w:rPr>
        <w:t xml:space="preserve"> 12</w:t>
      </w:r>
      <w:r w:rsidRPr="00320E9E">
        <w:rPr>
          <w:lang w:val="en-MY"/>
        </w:rPr>
        <w:t>(1) state that “1. The arbitral tribunal shall render its final award within a period which is limited to three months. Such time limit shall start to run from the date of delivery of the closing oral submissions or written statements to the arbitral tribunal.”</w:t>
      </w:r>
    </w:p>
  </w:footnote>
  <w:footnote w:id="15">
    <w:p w14:paraId="1E956B71" w14:textId="77777777" w:rsidR="0040793A" w:rsidRPr="009B15A2" w:rsidRDefault="0040793A" w:rsidP="0040793A">
      <w:pPr>
        <w:pStyle w:val="FootnoteText"/>
        <w:rPr>
          <w:lang w:val="en-MY"/>
        </w:rPr>
      </w:pPr>
      <w:r w:rsidRPr="00320E9E">
        <w:rPr>
          <w:rStyle w:val="FootnoteReference"/>
        </w:rPr>
        <w:footnoteRef/>
      </w:r>
      <w:r>
        <w:t xml:space="preserve"> </w:t>
      </w:r>
      <w:r w:rsidRPr="00320E9E">
        <w:t>Robert Donald</w:t>
      </w:r>
      <w:r w:rsidR="00172A0D">
        <w:t xml:space="preserve"> Fischer and Roger S. Haydock, ‘</w:t>
      </w:r>
      <w:r w:rsidRPr="00320E9E">
        <w:t>International Commercial Disputes- Drafting an Enfo</w:t>
      </w:r>
      <w:r w:rsidR="00172A0D">
        <w:t>rceable Arbitration Agreement’ [1996]</w:t>
      </w:r>
      <w:r>
        <w:t xml:space="preserve"> 21 </w:t>
      </w:r>
      <w:r w:rsidRPr="00172A0D">
        <w:rPr>
          <w:iCs/>
          <w:lang w:val="en-MY"/>
        </w:rPr>
        <w:t>Wm. Mitchell L. Rev</w:t>
      </w:r>
      <w:r w:rsidRPr="009B15A2">
        <w:rPr>
          <w:lang w:val="en-MY"/>
        </w:rPr>
        <w:t>.</w:t>
      </w:r>
      <w:r>
        <w:rPr>
          <w:lang w:val="en-MY"/>
        </w:rPr>
        <w:t xml:space="preserve"> </w:t>
      </w:r>
      <w:r w:rsidRPr="00320E9E">
        <w:t>941, 954.</w:t>
      </w:r>
    </w:p>
  </w:footnote>
  <w:footnote w:id="16">
    <w:p w14:paraId="654780ED" w14:textId="77777777" w:rsidR="0040793A" w:rsidRPr="00320E9E" w:rsidRDefault="0040793A" w:rsidP="0040793A">
      <w:pPr>
        <w:pStyle w:val="FootnoteText"/>
        <w:jc w:val="both"/>
      </w:pPr>
      <w:r w:rsidRPr="00320E9E">
        <w:rPr>
          <w:rStyle w:val="FootnoteReference"/>
        </w:rPr>
        <w:footnoteRef/>
      </w:r>
      <w:r w:rsidRPr="00320E9E">
        <w:t xml:space="preserve"> A court review of an award occurs only in unusual circumstances where for example, fraud or corruption occurred or the arbitrator impro</w:t>
      </w:r>
      <w:r w:rsidR="00172A0D">
        <w:t>perly exceeded their authority.</w:t>
      </w:r>
    </w:p>
  </w:footnote>
  <w:footnote w:id="17">
    <w:p w14:paraId="0329EAC1" w14:textId="77777777" w:rsidR="0040793A" w:rsidRPr="00320E9E" w:rsidRDefault="0040793A" w:rsidP="0040793A">
      <w:pPr>
        <w:pStyle w:val="FootnoteText"/>
        <w:jc w:val="both"/>
      </w:pPr>
      <w:r w:rsidRPr="00320E9E">
        <w:rPr>
          <w:rStyle w:val="FootnoteReference"/>
        </w:rPr>
        <w:footnoteRef/>
      </w:r>
      <w:r>
        <w:t xml:space="preserve"> </w:t>
      </w:r>
      <w:r w:rsidRPr="00320E9E">
        <w:t>The award issued by the arbitrator is the final and binding decision, except in those arbitrations where the parties agree the award will be non- binding.</w:t>
      </w:r>
    </w:p>
  </w:footnote>
  <w:footnote w:id="18">
    <w:p w14:paraId="7A1F9BBE" w14:textId="77777777" w:rsidR="0040793A" w:rsidRPr="002354CD" w:rsidRDefault="0040793A" w:rsidP="0040793A">
      <w:pPr>
        <w:pStyle w:val="FootnoteText"/>
      </w:pPr>
      <w:r>
        <w:rPr>
          <w:rStyle w:val="FootnoteReference"/>
        </w:rPr>
        <w:footnoteRef/>
      </w:r>
      <w:r>
        <w:t xml:space="preserve"> </w:t>
      </w:r>
      <w:r w:rsidRPr="002354CD">
        <w:rPr>
          <w:lang w:val="en-MY"/>
        </w:rPr>
        <w:t>Arbitration Act</w:t>
      </w:r>
      <w:r>
        <w:rPr>
          <w:lang w:val="en-MY"/>
        </w:rPr>
        <w:t>,</w:t>
      </w:r>
      <w:r w:rsidRPr="002354CD">
        <w:rPr>
          <w:lang w:val="en-MY"/>
        </w:rPr>
        <w:t xml:space="preserve"> 2005</w:t>
      </w:r>
      <w:r w:rsidR="00172A0D">
        <w:rPr>
          <w:lang w:val="en-MY"/>
        </w:rPr>
        <w:t xml:space="preserve"> s 13(9)</w:t>
      </w:r>
      <w:r>
        <w:rPr>
          <w:lang w:val="en-MY"/>
        </w:rPr>
        <w:t>.</w:t>
      </w:r>
    </w:p>
  </w:footnote>
  <w:footnote w:id="19">
    <w:p w14:paraId="29A6B99E" w14:textId="77777777" w:rsidR="0040793A" w:rsidRPr="00172A0D" w:rsidRDefault="0040793A" w:rsidP="0040793A">
      <w:pPr>
        <w:pStyle w:val="FootnoteText"/>
        <w:jc w:val="both"/>
      </w:pPr>
      <w:r w:rsidRPr="00320E9E">
        <w:rPr>
          <w:rStyle w:val="FootnoteReference"/>
        </w:rPr>
        <w:footnoteRef/>
      </w:r>
      <w:r w:rsidRPr="00320E9E">
        <w:t xml:space="preserve"> Refer to KLRCA website </w:t>
      </w:r>
      <w:r w:rsidRPr="00F648EE">
        <w:rPr>
          <w:u w:val="single"/>
        </w:rPr>
        <w:t>&lt;http://www.klrca.org.my&gt;</w:t>
      </w:r>
      <w:r w:rsidR="00172A0D">
        <w:rPr>
          <w:u w:val="single"/>
        </w:rPr>
        <w:t xml:space="preserve"> </w:t>
      </w:r>
      <w:r w:rsidR="00172A0D">
        <w:t>accessed  30 October 2013.</w:t>
      </w:r>
    </w:p>
  </w:footnote>
  <w:footnote w:id="20">
    <w:p w14:paraId="7C2BBB09" w14:textId="77777777" w:rsidR="0040793A" w:rsidRPr="00320E9E" w:rsidRDefault="0040793A" w:rsidP="0040793A">
      <w:pPr>
        <w:pStyle w:val="FootnoteText"/>
        <w:jc w:val="both"/>
      </w:pPr>
      <w:r w:rsidRPr="00320E9E">
        <w:rPr>
          <w:rStyle w:val="FootnoteReference"/>
        </w:rPr>
        <w:footnoteRef/>
      </w:r>
      <w:r w:rsidR="00172A0D">
        <w:t xml:space="preserve"> </w:t>
      </w:r>
      <w:r>
        <w:t>i-Arbitration Rules 2013</w:t>
      </w:r>
      <w:r w:rsidR="00172A0D">
        <w:t xml:space="preserve"> r(11)</w:t>
      </w:r>
      <w:r w:rsidRPr="00320E9E">
        <w:t>.</w:t>
      </w:r>
    </w:p>
  </w:footnote>
  <w:footnote w:id="21">
    <w:p w14:paraId="34B343E7" w14:textId="77777777" w:rsidR="0040793A" w:rsidRPr="00320E9E" w:rsidRDefault="0040793A" w:rsidP="0040793A">
      <w:pPr>
        <w:pStyle w:val="FootnoteText"/>
        <w:jc w:val="both"/>
      </w:pPr>
      <w:r w:rsidRPr="00320E9E">
        <w:rPr>
          <w:rStyle w:val="FootnoteReference"/>
        </w:rPr>
        <w:footnoteRef/>
      </w:r>
      <w:r w:rsidRPr="00320E9E">
        <w:t xml:space="preserve"> There are two distinct methods of proceedings for arbitration, the institutionalized and the ad hoc arbitration. Parties to an institutional arbitration conduct the arbitration in accordance with the procedural rules of the particular institution concerned.'" The parties to an ad hoc arbitration may establish their own rules of procedure, allowing additional flexibility to fit the facts of the dispute between them. See Aiste</w:t>
      </w:r>
      <w:r>
        <w:t xml:space="preserve"> </w:t>
      </w:r>
      <w:r w:rsidR="00172A0D">
        <w:t>Sklenyte, ‘</w:t>
      </w:r>
      <w:r w:rsidRPr="00320E9E">
        <w:t xml:space="preserve">International Arbitration: the Doctrine of Separability and </w:t>
      </w:r>
      <w:r>
        <w:t>Competence-Competence Principle</w:t>
      </w:r>
      <w:r w:rsidR="00172A0D">
        <w:t>’</w:t>
      </w:r>
      <w:r w:rsidRPr="00320E9E">
        <w:t xml:space="preserve"> </w:t>
      </w:r>
      <w:r w:rsidRPr="00172A0D">
        <w:rPr>
          <w:iCs/>
        </w:rPr>
        <w:t>The Aarhus School of Business Fuglesangs Alle</w:t>
      </w:r>
      <w:r w:rsidRPr="00320E9E">
        <w:t xml:space="preserve"> 4 8210 Arhus V.</w:t>
      </w:r>
    </w:p>
  </w:footnote>
  <w:footnote w:id="22">
    <w:p w14:paraId="5C40C3AB" w14:textId="77777777" w:rsidR="0040793A" w:rsidRPr="00320E9E" w:rsidRDefault="0040793A" w:rsidP="0040793A">
      <w:pPr>
        <w:pStyle w:val="FootnoteText"/>
        <w:jc w:val="both"/>
        <w:rPr>
          <w:lang w:val="en-MY"/>
        </w:rPr>
      </w:pPr>
      <w:r w:rsidRPr="00320E9E">
        <w:rPr>
          <w:rStyle w:val="FootnoteReference"/>
        </w:rPr>
        <w:footnoteRef/>
      </w:r>
      <w:r w:rsidRPr="00320E9E">
        <w:t xml:space="preserve"> Ru</w:t>
      </w:r>
      <w:r>
        <w:rPr>
          <w:lang w:val="en-MY"/>
        </w:rPr>
        <w:t>le 10</w:t>
      </w:r>
      <w:r w:rsidRPr="00320E9E">
        <w:rPr>
          <w:lang w:val="en-MY"/>
        </w:rPr>
        <w:t xml:space="preserve"> provides that “The arbitral tribunal may conduct the arbitration in such manner as it considers appropriate and without prejudice to the generality of the foregoing may, unless all parties to the arbitration otherwise agree, limit the time available for each party to present its case.”</w:t>
      </w:r>
    </w:p>
  </w:footnote>
  <w:footnote w:id="23">
    <w:p w14:paraId="3B9F4D4A" w14:textId="77777777" w:rsidR="0040793A" w:rsidRPr="00320E9E" w:rsidRDefault="0040793A" w:rsidP="0040793A">
      <w:pPr>
        <w:pStyle w:val="FootnoteText"/>
        <w:jc w:val="both"/>
        <w:rPr>
          <w:lang w:val="en-MY"/>
        </w:rPr>
      </w:pPr>
      <w:r w:rsidRPr="00320E9E">
        <w:rPr>
          <w:rStyle w:val="FootnoteReference"/>
        </w:rPr>
        <w:footnoteRef/>
      </w:r>
      <w:r w:rsidRPr="00320E9E">
        <w:t xml:space="preserve">The i-Arbitration Rules </w:t>
      </w:r>
      <w:r>
        <w:rPr>
          <w:lang w:val="en-MY"/>
        </w:rPr>
        <w:t>in its rule 16</w:t>
      </w:r>
      <w:r w:rsidRPr="00320E9E">
        <w:rPr>
          <w:lang w:val="en-MY"/>
        </w:rPr>
        <w:t xml:space="preserve"> provides that “The arbitral tribunal, the parties and the KLRCA shall keep confidential all matters relating to the arbitral proceedings. Confidentiality extends also to any award, except where its disclosure is necessary for purposes of implementation and enforcement.”</w:t>
      </w:r>
    </w:p>
  </w:footnote>
  <w:footnote w:id="24">
    <w:p w14:paraId="6964E560" w14:textId="77777777" w:rsidR="0040793A" w:rsidRPr="00320E9E" w:rsidRDefault="0040793A" w:rsidP="0040793A">
      <w:pPr>
        <w:pStyle w:val="FootnoteText"/>
        <w:jc w:val="both"/>
      </w:pPr>
      <w:r w:rsidRPr="00320E9E">
        <w:rPr>
          <w:rStyle w:val="FootnoteReference"/>
        </w:rPr>
        <w:footnoteRef/>
      </w:r>
      <w:r w:rsidRPr="00320E9E">
        <w:t xml:space="preserve"> This is as provided for under the International Bar Association (IBA) Ethics for International Arbitrators. </w:t>
      </w:r>
    </w:p>
  </w:footnote>
  <w:footnote w:id="25">
    <w:p w14:paraId="5EC07761" w14:textId="77777777" w:rsidR="0040793A" w:rsidRPr="00320E9E" w:rsidRDefault="0040793A" w:rsidP="0040793A">
      <w:pPr>
        <w:pStyle w:val="FootnoteText"/>
        <w:jc w:val="both"/>
      </w:pPr>
      <w:r w:rsidRPr="00320E9E">
        <w:rPr>
          <w:rStyle w:val="FootnoteReference"/>
        </w:rPr>
        <w:footnoteRef/>
      </w:r>
      <w:r>
        <w:t xml:space="preserve"> </w:t>
      </w:r>
      <w:r w:rsidRPr="00320E9E">
        <w:t>An arbitration clause may indicate the rules under which the arbitration will take place, the number of arbitrators, the place of arbitration, and the language to be used.</w:t>
      </w:r>
    </w:p>
  </w:footnote>
  <w:footnote w:id="26">
    <w:p w14:paraId="18B0A679" w14:textId="77777777" w:rsidR="0040793A" w:rsidRPr="00320E9E" w:rsidRDefault="0040793A" w:rsidP="0040793A">
      <w:pPr>
        <w:pStyle w:val="FootnoteText"/>
        <w:jc w:val="both"/>
        <w:rPr>
          <w:i/>
          <w:lang w:val="en-MY"/>
        </w:rPr>
      </w:pPr>
      <w:r w:rsidRPr="00320E9E">
        <w:rPr>
          <w:rStyle w:val="FootnoteReference"/>
        </w:rPr>
        <w:footnoteRef/>
      </w:r>
      <w:r w:rsidRPr="00320E9E">
        <w:t xml:space="preserve"> </w:t>
      </w:r>
      <w:r>
        <w:t xml:space="preserve"> </w:t>
      </w:r>
      <w:r w:rsidR="00172A0D" w:rsidRPr="00172A0D">
        <w:t>Hakimah Yaacob, Alternative Dispute Resolution (ADR): Expanding Options in Local and Cross Border Islamic Finance Cases,</w:t>
      </w:r>
      <w:r w:rsidR="00172A0D" w:rsidRPr="00172A0D">
        <w:rPr>
          <w:i/>
        </w:rPr>
        <w:t xml:space="preserve"> </w:t>
      </w:r>
      <w:r w:rsidR="00172A0D" w:rsidRPr="00172A0D">
        <w:t>(International Shari’ah Research Academy for Islamic Finance, 2012)</w:t>
      </w:r>
      <w:r>
        <w:t>54.</w:t>
      </w:r>
    </w:p>
  </w:footnote>
  <w:footnote w:id="27">
    <w:p w14:paraId="4BEF2874" w14:textId="77777777" w:rsidR="0040793A" w:rsidRPr="00320E9E" w:rsidRDefault="0040793A" w:rsidP="0040793A">
      <w:pPr>
        <w:pStyle w:val="FootnoteText"/>
        <w:jc w:val="both"/>
      </w:pPr>
      <w:r w:rsidRPr="00320E9E">
        <w:rPr>
          <w:rStyle w:val="FootnoteReference"/>
        </w:rPr>
        <w:footnoteRef/>
      </w:r>
      <w:r>
        <w:t xml:space="preserve"> </w:t>
      </w:r>
      <w:r w:rsidRPr="00320E9E">
        <w:t xml:space="preserve">Cost of arbitration are all expenses properly incurred in the conduct of the process. This includes, the fees and expenses of the Arbitrator, those of the arbitral institution involved in the process, parties’ costs including legal costs and fees of counsel or representative including a lay representative as well as all costs incidental to the arbitration such as experts’ fees, translators, interpreters and scribes for the preparation of the transcript, photocopying, the hiring of premises for the holding of the arbitration, and the likes. </w:t>
      </w:r>
    </w:p>
  </w:footnote>
  <w:footnote w:id="28">
    <w:p w14:paraId="30EFC255" w14:textId="77777777" w:rsidR="0040793A" w:rsidRPr="00320E9E" w:rsidRDefault="0040793A" w:rsidP="0040793A">
      <w:pPr>
        <w:pStyle w:val="FootnoteText"/>
        <w:jc w:val="both"/>
      </w:pPr>
      <w:r w:rsidRPr="00320E9E">
        <w:rPr>
          <w:rStyle w:val="FootnoteReference"/>
        </w:rPr>
        <w:footnoteRef/>
      </w:r>
      <w:r>
        <w:t xml:space="preserve"> i-Arbitration Rules 2013</w:t>
      </w:r>
      <w:r w:rsidR="004842BE">
        <w:t xml:space="preserve"> r (13)(1)(b)</w:t>
      </w:r>
      <w:r w:rsidRPr="00320E9E">
        <w:t>.</w:t>
      </w:r>
    </w:p>
  </w:footnote>
  <w:footnote w:id="29">
    <w:p w14:paraId="78FF08B3" w14:textId="77777777" w:rsidR="0040793A" w:rsidRPr="002354CD" w:rsidRDefault="0040793A" w:rsidP="0040793A">
      <w:pPr>
        <w:pStyle w:val="FootnoteText"/>
      </w:pPr>
      <w:r>
        <w:rPr>
          <w:rStyle w:val="FootnoteReference"/>
        </w:rPr>
        <w:footnoteRef/>
      </w:r>
      <w:r w:rsidR="004842BE">
        <w:t xml:space="preserve"> </w:t>
      </w:r>
      <w:r>
        <w:t>i-Arbitration Rules 2013</w:t>
      </w:r>
      <w:r w:rsidR="004842BE">
        <w:t xml:space="preserve"> r (14) (6)</w:t>
      </w:r>
      <w:r>
        <w:t>.</w:t>
      </w:r>
    </w:p>
  </w:footnote>
  <w:footnote w:id="30">
    <w:p w14:paraId="6AFDA25A" w14:textId="77777777" w:rsidR="0040793A" w:rsidRPr="00320E9E" w:rsidRDefault="0040793A" w:rsidP="0040793A">
      <w:pPr>
        <w:pStyle w:val="FootnoteText"/>
        <w:jc w:val="both"/>
      </w:pPr>
      <w:r w:rsidRPr="00320E9E">
        <w:rPr>
          <w:rStyle w:val="FootnoteReference"/>
        </w:rPr>
        <w:footnoteRef/>
      </w:r>
      <w:r w:rsidR="004842BE">
        <w:t xml:space="preserve"> Michael John Mustill, ‘</w:t>
      </w:r>
      <w:r w:rsidRPr="00320E9E">
        <w:t>Arbit</w:t>
      </w:r>
      <w:r w:rsidR="004842BE">
        <w:t>ration: History and Background’ [1989]</w:t>
      </w:r>
      <w:r>
        <w:t xml:space="preserve">6 </w:t>
      </w:r>
      <w:r w:rsidRPr="004842BE">
        <w:rPr>
          <w:iCs/>
        </w:rPr>
        <w:t>Journal of International Arbitration</w:t>
      </w:r>
      <w:r>
        <w:rPr>
          <w:i/>
          <w:iCs/>
        </w:rPr>
        <w:t xml:space="preserve"> </w:t>
      </w:r>
      <w:r w:rsidRPr="00320E9E">
        <w:t>43-56.</w:t>
      </w:r>
    </w:p>
  </w:footnote>
  <w:footnote w:id="31">
    <w:p w14:paraId="1F4A431E" w14:textId="77777777" w:rsidR="0040793A" w:rsidRPr="00320E9E" w:rsidRDefault="0040793A" w:rsidP="0040793A">
      <w:pPr>
        <w:pStyle w:val="FootnoteText"/>
        <w:jc w:val="both"/>
      </w:pPr>
      <w:r w:rsidRPr="00320E9E">
        <w:rPr>
          <w:rStyle w:val="FootnoteReference"/>
        </w:rPr>
        <w:footnoteRef/>
      </w:r>
      <w:r>
        <w:t xml:space="preserve"> Steven, E. Bizar and </w:t>
      </w:r>
      <w:r w:rsidRPr="00320E9E">
        <w:t xml:space="preserve">Paul D. Weiner, </w:t>
      </w:r>
      <w:r w:rsidRPr="004842BE">
        <w:rPr>
          <w:iCs/>
        </w:rPr>
        <w:t>Tips for protecting your Litigation interests in Biopharmaceutical Manufacturing Contracts</w:t>
      </w:r>
      <w:r>
        <w:t xml:space="preserve"> </w:t>
      </w:r>
      <w:r w:rsidR="004842BE">
        <w:t>(Bouchanan Ingersoll PC</w:t>
      </w:r>
      <w:r>
        <w:t xml:space="preserve"> 2005</w:t>
      </w:r>
      <w:r w:rsidR="004842BE">
        <w:t>)</w:t>
      </w:r>
      <w:r w:rsidRPr="00320E9E">
        <w:t xml:space="preserve"> 10.</w:t>
      </w:r>
    </w:p>
  </w:footnote>
  <w:footnote w:id="32">
    <w:p w14:paraId="7EFDA971" w14:textId="77777777" w:rsidR="0040793A" w:rsidRPr="00320E9E" w:rsidRDefault="0040793A" w:rsidP="0040793A">
      <w:pPr>
        <w:pStyle w:val="FootnoteText"/>
        <w:jc w:val="both"/>
      </w:pPr>
      <w:r w:rsidRPr="00320E9E">
        <w:rPr>
          <w:rStyle w:val="FootnoteReference"/>
        </w:rPr>
        <w:footnoteRef/>
      </w:r>
      <w:r w:rsidRPr="00320E9E">
        <w:t xml:space="preserve"> </w:t>
      </w:r>
      <w:r>
        <w:t>Intern</w:t>
      </w:r>
      <w:r w:rsidR="004842BE">
        <w:t>ational Commercial Litigation, ‘</w:t>
      </w:r>
      <w:r w:rsidRPr="00320E9E">
        <w:t>Arbitration: the privat</w:t>
      </w:r>
      <w:r w:rsidR="004842BE">
        <w:t>ization of the judicial process’</w:t>
      </w:r>
      <w:r w:rsidRPr="00320E9E">
        <w:t xml:space="preserve"> </w:t>
      </w:r>
      <w:r w:rsidR="004842BE">
        <w:t>[</w:t>
      </w:r>
      <w:r w:rsidRPr="00320E9E">
        <w:t>December 1996/Jan</w:t>
      </w:r>
      <w:r w:rsidR="004842BE">
        <w:t xml:space="preserve">uary 1997] </w:t>
      </w:r>
      <w:r w:rsidRPr="004842BE">
        <w:rPr>
          <w:iCs/>
        </w:rPr>
        <w:t>A special supplement</w:t>
      </w:r>
      <w:r w:rsidRPr="00320E9E">
        <w:t xml:space="preserve"> 96. </w:t>
      </w:r>
    </w:p>
  </w:footnote>
  <w:footnote w:id="33">
    <w:p w14:paraId="645A4232" w14:textId="77777777" w:rsidR="0040793A" w:rsidRPr="00320E9E" w:rsidRDefault="0040793A" w:rsidP="0040793A">
      <w:pPr>
        <w:pStyle w:val="FootnoteText"/>
        <w:jc w:val="both"/>
      </w:pPr>
      <w:r w:rsidRPr="00320E9E">
        <w:rPr>
          <w:rStyle w:val="FootnoteReference"/>
        </w:rPr>
        <w:footnoteRef/>
      </w:r>
      <w:r>
        <w:t xml:space="preserve"> </w:t>
      </w:r>
      <w:r w:rsidR="004842BE" w:rsidRPr="004842BE">
        <w:t xml:space="preserve">Michael John Mustill, ‘Arbitration: History and Background’ [1989]6 </w:t>
      </w:r>
      <w:r w:rsidR="004842BE" w:rsidRPr="004842BE">
        <w:rPr>
          <w:iCs/>
        </w:rPr>
        <w:t xml:space="preserve">Journal of International </w:t>
      </w:r>
      <w:r w:rsidRPr="00320E9E">
        <w:t>56.</w:t>
      </w:r>
    </w:p>
  </w:footnote>
  <w:footnote w:id="34">
    <w:p w14:paraId="75AA5299" w14:textId="77777777" w:rsidR="0040793A" w:rsidRPr="00320E9E" w:rsidRDefault="0040793A" w:rsidP="0040793A">
      <w:pPr>
        <w:pStyle w:val="FootnoteText"/>
        <w:jc w:val="both"/>
      </w:pPr>
      <w:r w:rsidRPr="00320E9E">
        <w:rPr>
          <w:rStyle w:val="FootnoteReference"/>
        </w:rPr>
        <w:footnoteRef/>
      </w:r>
      <w:r w:rsidR="004842BE">
        <w:t xml:space="preserve"> John H.M, ‘Will ADR Kill Arbitration?’</w:t>
      </w:r>
      <w:r w:rsidRPr="00320E9E">
        <w:t xml:space="preserve"> </w:t>
      </w:r>
      <w:r>
        <w:t>paper presented to t</w:t>
      </w:r>
      <w:r w:rsidRPr="004F0C3A">
        <w:t xml:space="preserve">he Chartered Institute of Arbitrators (Arbiters) </w:t>
      </w:r>
      <w:r w:rsidR="004842BE">
        <w:t>(</w:t>
      </w:r>
      <w:r w:rsidRPr="004F0C3A">
        <w:t>Scottish Branch</w:t>
      </w:r>
      <w:r w:rsidR="004842BE">
        <w:rPr>
          <w:i/>
          <w:iCs/>
        </w:rPr>
        <w:t xml:space="preserve"> </w:t>
      </w:r>
      <w:r w:rsidR="004842BE">
        <w:t xml:space="preserve">1995) </w:t>
      </w:r>
      <w:r w:rsidRPr="00320E9E">
        <w:t>172.</w:t>
      </w:r>
    </w:p>
  </w:footnote>
  <w:footnote w:id="35">
    <w:p w14:paraId="222FC101" w14:textId="77777777" w:rsidR="0040793A" w:rsidRPr="00320E9E" w:rsidRDefault="0040793A" w:rsidP="0040793A">
      <w:pPr>
        <w:pStyle w:val="FootnoteText"/>
        <w:jc w:val="both"/>
      </w:pPr>
      <w:r w:rsidRPr="00320E9E">
        <w:rPr>
          <w:rStyle w:val="FootnoteReference"/>
        </w:rPr>
        <w:footnoteRef/>
      </w:r>
      <w:r w:rsidRPr="00320E9E">
        <w:t xml:space="preserve"> Court intervention can occur in a number of ways at various stages throughout the arbitration. The court can exercise its power to enforce the contractual promises in the arbitration agreement firstly by staying any local court proceedings in favour of the arbitration, and secondly by enforcing awards. Local court can constitute or reconstitute an arbitral tribunal in certain circumstances for example in the event of the death of an arbitrator in order to prevent the reference from becoming abortive. The court also assists by providing remedies that are outside the scope of the arbitrator’s jurisdiction. The court can also implement a variety of “corrective” or “supervis</w:t>
      </w:r>
      <w:r w:rsidR="004842BE">
        <w:t>ory” remedies. See Pippa Read, ‘</w:t>
      </w:r>
      <w:r w:rsidRPr="00320E9E">
        <w:t>Delocalization of International Commercial Arbitration: its r</w:t>
      </w:r>
      <w:r w:rsidR="004842BE">
        <w:t xml:space="preserve">elevance in the new millennium’[1999] </w:t>
      </w:r>
      <w:r>
        <w:t xml:space="preserve">10 </w:t>
      </w:r>
      <w:r w:rsidRPr="004842BE">
        <w:rPr>
          <w:iCs/>
        </w:rPr>
        <w:t>The American Review of International Arbitration</w:t>
      </w:r>
      <w:r w:rsidRPr="00907F1D">
        <w:t xml:space="preserve"> </w:t>
      </w:r>
      <w:r w:rsidRPr="00320E9E">
        <w:t>182.</w:t>
      </w:r>
    </w:p>
  </w:footnote>
  <w:footnote w:id="36">
    <w:p w14:paraId="1D0BFBF0" w14:textId="77777777" w:rsidR="0040793A" w:rsidRPr="00320E9E" w:rsidRDefault="0040793A" w:rsidP="0040793A">
      <w:pPr>
        <w:pStyle w:val="FootnoteText"/>
        <w:jc w:val="both"/>
      </w:pPr>
      <w:r w:rsidRPr="00320E9E">
        <w:rPr>
          <w:rStyle w:val="FootnoteReference"/>
        </w:rPr>
        <w:footnoteRef/>
      </w:r>
      <w:r w:rsidRPr="00320E9E">
        <w:t xml:space="preserve"> Ibid., 183.</w:t>
      </w:r>
    </w:p>
  </w:footnote>
  <w:footnote w:id="37">
    <w:p w14:paraId="6FCCDEFB" w14:textId="77777777" w:rsidR="0040793A" w:rsidRPr="00320E9E" w:rsidRDefault="0040793A" w:rsidP="0040793A">
      <w:pPr>
        <w:pStyle w:val="FootnoteText"/>
        <w:jc w:val="both"/>
      </w:pPr>
      <w:r w:rsidRPr="00320E9E">
        <w:rPr>
          <w:rStyle w:val="FootnoteReference"/>
        </w:rPr>
        <w:footnoteRef/>
      </w:r>
      <w:r w:rsidRPr="00320E9E">
        <w:t xml:space="preserve">Section 42 of the Arbitration Act 2005 provides for Reference of questions of law to the High Court </w:t>
      </w:r>
      <w:r w:rsidRPr="00320E9E">
        <w:rPr>
          <w:lang w:val="en-MY"/>
        </w:rPr>
        <w:t>where on the basis of the findings of fact in the award, the decision of the tribunal is obviously wrong, or the question is one of general importance and the decision of the tribunal is at least open to serious doubt.</w:t>
      </w:r>
    </w:p>
  </w:footnote>
  <w:footnote w:id="38">
    <w:p w14:paraId="21933740" w14:textId="77777777" w:rsidR="0040793A" w:rsidRPr="00320E9E" w:rsidRDefault="0040793A" w:rsidP="0040793A">
      <w:pPr>
        <w:pStyle w:val="FootnoteText"/>
        <w:jc w:val="both"/>
      </w:pPr>
      <w:r w:rsidRPr="00320E9E">
        <w:rPr>
          <w:rStyle w:val="FootnoteReference"/>
        </w:rPr>
        <w:footnoteRef/>
      </w:r>
      <w:r w:rsidRPr="00320E9E">
        <w:t>Section 11 of the Arbitration Act 2005.</w:t>
      </w:r>
    </w:p>
  </w:footnote>
  <w:footnote w:id="39">
    <w:p w14:paraId="27BB53AA" w14:textId="77777777" w:rsidR="0040793A" w:rsidRPr="00320E9E" w:rsidRDefault="0040793A" w:rsidP="0040793A">
      <w:pPr>
        <w:pStyle w:val="FootnoteText"/>
        <w:jc w:val="both"/>
      </w:pPr>
      <w:r w:rsidRPr="00320E9E">
        <w:rPr>
          <w:rStyle w:val="FootnoteReference"/>
        </w:rPr>
        <w:footnoteRef/>
      </w:r>
      <w:r w:rsidRPr="00320E9E">
        <w:t xml:space="preserve"> The notion of </w:t>
      </w:r>
      <w:r w:rsidRPr="00320E9E">
        <w:rPr>
          <w:i/>
          <w:iCs/>
        </w:rPr>
        <w:t>Amiable Composition</w:t>
      </w:r>
      <w:r w:rsidRPr="00320E9E">
        <w:t xml:space="preserve"> has been only recently adopted in a limited sphere by various international conventions, arbitration rules and some domestic rules. This concept can be seen in Article VII (2) of the European Conventions on International Commercial </w:t>
      </w:r>
      <w:r>
        <w:t xml:space="preserve">Arbitration, which states that: </w:t>
      </w:r>
      <w:r w:rsidRPr="00320E9E">
        <w:t xml:space="preserve">“The arbitrators shall act as </w:t>
      </w:r>
      <w:r w:rsidRPr="00320E9E">
        <w:rPr>
          <w:i/>
          <w:iCs/>
        </w:rPr>
        <w:t>Amiable Compositieur</w:t>
      </w:r>
      <w:r w:rsidRPr="00320E9E">
        <w:t xml:space="preserve"> </w:t>
      </w:r>
      <w:r w:rsidRPr="00320E9E">
        <w:rPr>
          <w:b/>
        </w:rPr>
        <w:t>if the parties so decide</w:t>
      </w:r>
      <w:r w:rsidRPr="00320E9E">
        <w:t xml:space="preserve"> and they may do so under the law applicable to the arbitrator</w:t>
      </w:r>
      <w:r w:rsidRPr="00320E9E">
        <w:rPr>
          <w:vertAlign w:val="superscript"/>
        </w:rPr>
        <w:footnoteRef/>
      </w:r>
      <w:r w:rsidRPr="00320E9E">
        <w:t>.</w:t>
      </w:r>
    </w:p>
  </w:footnote>
  <w:footnote w:id="40">
    <w:p w14:paraId="58856A30" w14:textId="77777777" w:rsidR="0040793A" w:rsidRPr="00320E9E" w:rsidRDefault="0040793A" w:rsidP="0040793A">
      <w:pPr>
        <w:pStyle w:val="FootnoteText"/>
        <w:jc w:val="both"/>
      </w:pPr>
      <w:r w:rsidRPr="00320E9E">
        <w:rPr>
          <w:rStyle w:val="FootnoteReference"/>
        </w:rPr>
        <w:footnoteRef/>
      </w:r>
      <w:r w:rsidR="004842BE">
        <w:t xml:space="preserve"> Hong-Lin Yu, ‘</w:t>
      </w:r>
      <w:r w:rsidRPr="00320E9E">
        <w:t>Amiabl</w:t>
      </w:r>
      <w:r w:rsidR="004842BE">
        <w:t>e Composition-A learning Curve’ [2000]</w:t>
      </w:r>
      <w:r w:rsidRPr="00320E9E">
        <w:t>1</w:t>
      </w:r>
      <w:r w:rsidR="004842BE">
        <w:t>7 (</w:t>
      </w:r>
      <w:r>
        <w:t>1</w:t>
      </w:r>
      <w:r w:rsidR="004842BE">
        <w:t>)</w:t>
      </w:r>
      <w:r w:rsidRPr="00320E9E">
        <w:t xml:space="preserve"> </w:t>
      </w:r>
      <w:r w:rsidRPr="004842BE">
        <w:rPr>
          <w:iCs/>
        </w:rPr>
        <w:t>Journal of International Arbitration</w:t>
      </w:r>
      <w:r w:rsidRPr="00907F1D">
        <w:t xml:space="preserve"> </w:t>
      </w:r>
      <w:r w:rsidRPr="00320E9E">
        <w:t>79-80.</w:t>
      </w:r>
    </w:p>
  </w:footnote>
  <w:footnote w:id="41">
    <w:p w14:paraId="11478D94" w14:textId="77777777" w:rsidR="0040793A" w:rsidRPr="00320E9E" w:rsidRDefault="0040793A" w:rsidP="0040793A">
      <w:pPr>
        <w:pStyle w:val="FootnoteText"/>
        <w:jc w:val="both"/>
      </w:pPr>
      <w:r w:rsidRPr="00320E9E">
        <w:rPr>
          <w:rStyle w:val="FootnoteReference"/>
        </w:rPr>
        <w:footnoteRef/>
      </w:r>
      <w:r w:rsidRPr="00320E9E">
        <w:t xml:space="preserve"> </w:t>
      </w:r>
      <w:r w:rsidR="004842BE" w:rsidRPr="004842BE">
        <w:t>John H.M, ‘Will ADR Kill Arbitration?’ paper presented to the Chartered Institute of Arbitrators (Arbiters) (Scottish Branch</w:t>
      </w:r>
      <w:r w:rsidR="004842BE" w:rsidRPr="004842BE">
        <w:rPr>
          <w:i/>
          <w:iCs/>
        </w:rPr>
        <w:t xml:space="preserve"> </w:t>
      </w:r>
      <w:r w:rsidR="004842BE" w:rsidRPr="004842BE">
        <w:t xml:space="preserve">1995) </w:t>
      </w:r>
      <w:r>
        <w:t>173.</w:t>
      </w:r>
    </w:p>
  </w:footnote>
  <w:footnote w:id="42">
    <w:p w14:paraId="010F2DF4" w14:textId="77777777" w:rsidR="0040793A" w:rsidRPr="00320E9E" w:rsidRDefault="0040793A" w:rsidP="0040793A">
      <w:pPr>
        <w:pStyle w:val="FootnoteText"/>
        <w:jc w:val="both"/>
        <w:rPr>
          <w:lang w:val="en-MY"/>
        </w:rPr>
      </w:pPr>
      <w:r w:rsidRPr="00320E9E">
        <w:rPr>
          <w:rStyle w:val="FootnoteReference"/>
        </w:rPr>
        <w:footnoteRef/>
      </w:r>
      <w:r>
        <w:rPr>
          <w:lang w:val="en-MY"/>
        </w:rPr>
        <w:t xml:space="preserve"> </w:t>
      </w:r>
      <w:r w:rsidRPr="00320E9E">
        <w:rPr>
          <w:lang w:val="en-MY"/>
        </w:rPr>
        <w:t>It is provided under the i</w:t>
      </w:r>
      <w:r>
        <w:rPr>
          <w:lang w:val="en-MY"/>
        </w:rPr>
        <w:t>-Arbitration Rules 2013, Rule 15</w:t>
      </w:r>
      <w:r w:rsidRPr="00320E9E">
        <w:rPr>
          <w:lang w:val="en-MY"/>
        </w:rPr>
        <w:t xml:space="preserve"> that “</w:t>
      </w:r>
      <w:r w:rsidRPr="00E8189C">
        <w:rPr>
          <w:lang w:val="en-MY"/>
        </w:rPr>
        <w:t xml:space="preserve">Where the parties have referred their dispute to mediation under </w:t>
      </w:r>
      <w:r>
        <w:rPr>
          <w:lang w:val="en-MY"/>
        </w:rPr>
        <w:t>the KLRCA’s Mediation Rules and</w:t>
      </w:r>
      <w:r w:rsidRPr="00E8189C">
        <w:rPr>
          <w:lang w:val="en-MY"/>
        </w:rPr>
        <w:t xml:space="preserve"> they have failed to reach a settlement and thereafter proceed to arbitration under the Rules, then one-half of the administrative costs paid to the KLRCA for the mediation shall be credited towards the administr</w:t>
      </w:r>
      <w:r>
        <w:rPr>
          <w:lang w:val="en-MY"/>
        </w:rPr>
        <w:t>ative costs of the arbitration.”</w:t>
      </w:r>
      <w:r w:rsidR="004842BE">
        <w:rPr>
          <w:lang w:val="en-MY"/>
        </w:rPr>
        <w:t xml:space="preserve"> See also Tang Houzhi, ‘</w:t>
      </w:r>
      <w:r w:rsidRPr="00320E9E">
        <w:rPr>
          <w:lang w:val="en-MY"/>
        </w:rPr>
        <w:t>Is There an Expanding Culture that Favors Combining Arbitration with Concil</w:t>
      </w:r>
      <w:r w:rsidR="004842BE">
        <w:rPr>
          <w:lang w:val="en-MY"/>
        </w:rPr>
        <w:t>iation or Other ADR Procedures?’</w:t>
      </w:r>
      <w:r w:rsidRPr="00320E9E">
        <w:rPr>
          <w:lang w:val="en-MY"/>
        </w:rPr>
        <w:t xml:space="preserve">, </w:t>
      </w:r>
      <w:r>
        <w:rPr>
          <w:lang w:val="en-MY"/>
        </w:rPr>
        <w:t xml:space="preserve">in </w:t>
      </w:r>
      <w:r w:rsidRPr="004842BE">
        <w:rPr>
          <w:iCs/>
          <w:lang w:val="en-MY"/>
        </w:rPr>
        <w:t>8 ICCA CONGRESS SERIES</w:t>
      </w:r>
      <w:r w:rsidRPr="00845BEB">
        <w:rPr>
          <w:lang w:val="en-MY"/>
        </w:rPr>
        <w:t xml:space="preserve"> </w:t>
      </w:r>
      <w:r w:rsidRPr="00320E9E">
        <w:rPr>
          <w:lang w:val="en-MY"/>
        </w:rPr>
        <w:t>(</w:t>
      </w:r>
      <w:r>
        <w:rPr>
          <w:lang w:val="en-MY"/>
        </w:rPr>
        <w:t>1996)</w:t>
      </w:r>
      <w:r w:rsidRPr="00320E9E">
        <w:rPr>
          <w:lang w:val="en-MY"/>
        </w:rPr>
        <w:t>108.</w:t>
      </w:r>
    </w:p>
  </w:footnote>
  <w:footnote w:id="43">
    <w:p w14:paraId="3E628C2F" w14:textId="77777777" w:rsidR="0040793A" w:rsidRPr="00320E9E" w:rsidRDefault="0040793A" w:rsidP="0040793A">
      <w:pPr>
        <w:pStyle w:val="FootnoteText"/>
        <w:jc w:val="both"/>
      </w:pPr>
      <w:r w:rsidRPr="00320E9E">
        <w:rPr>
          <w:rStyle w:val="FootnoteReference"/>
        </w:rPr>
        <w:footnoteRef/>
      </w:r>
      <w:r>
        <w:t xml:space="preserve"> Rule 17 </w:t>
      </w:r>
      <w:r w:rsidRPr="00320E9E">
        <w:t>of the i-Arbitration Ru</w:t>
      </w:r>
      <w:r>
        <w:t>les 2013</w:t>
      </w:r>
      <w:r w:rsidRPr="00320E9E">
        <w:t xml:space="preserve"> provides that “neither the KLRCA nor the arbitral tribunal shall be liable to any act or omission related to the conduct of the arbitral proceedings”.</w:t>
      </w:r>
    </w:p>
  </w:footnote>
  <w:footnote w:id="44">
    <w:p w14:paraId="65A8B6CC" w14:textId="77777777" w:rsidR="0040793A" w:rsidRPr="00320E9E" w:rsidRDefault="0040793A" w:rsidP="0040793A">
      <w:pPr>
        <w:jc w:val="both"/>
        <w:rPr>
          <w:sz w:val="20"/>
          <w:szCs w:val="20"/>
        </w:rPr>
      </w:pPr>
      <w:r w:rsidRPr="00320E9E">
        <w:rPr>
          <w:rStyle w:val="FootnoteReference"/>
          <w:sz w:val="20"/>
          <w:szCs w:val="20"/>
        </w:rPr>
        <w:footnoteRef/>
      </w:r>
      <w:r>
        <w:rPr>
          <w:sz w:val="20"/>
          <w:szCs w:val="20"/>
        </w:rPr>
        <w:t xml:space="preserve"> </w:t>
      </w:r>
      <w:r w:rsidR="001A566F">
        <w:rPr>
          <w:sz w:val="20"/>
          <w:szCs w:val="20"/>
        </w:rPr>
        <w:t>Doyle Stephen</w:t>
      </w:r>
      <w:r w:rsidRPr="00845BEB">
        <w:rPr>
          <w:sz w:val="20"/>
          <w:szCs w:val="20"/>
        </w:rPr>
        <w:t>and Roger </w:t>
      </w:r>
      <w:r>
        <w:rPr>
          <w:sz w:val="20"/>
          <w:szCs w:val="20"/>
        </w:rPr>
        <w:t xml:space="preserve">Haydock, </w:t>
      </w:r>
      <w:r w:rsidRPr="001A566F">
        <w:rPr>
          <w:iCs/>
          <w:sz w:val="20"/>
          <w:szCs w:val="20"/>
        </w:rPr>
        <w:t>Without the Punches: Resolving Disputes Without Litigation</w:t>
      </w:r>
      <w:r>
        <w:rPr>
          <w:i/>
          <w:iCs/>
          <w:sz w:val="20"/>
          <w:szCs w:val="20"/>
        </w:rPr>
        <w:t xml:space="preserve"> </w:t>
      </w:r>
      <w:r w:rsidR="001A566F">
        <w:rPr>
          <w:iCs/>
          <w:sz w:val="20"/>
          <w:szCs w:val="20"/>
        </w:rPr>
        <w:t>(</w:t>
      </w:r>
      <w:r w:rsidR="001A566F">
        <w:rPr>
          <w:sz w:val="20"/>
          <w:szCs w:val="20"/>
        </w:rPr>
        <w:t>Equilaw</w:t>
      </w:r>
      <w:r>
        <w:rPr>
          <w:sz w:val="20"/>
          <w:szCs w:val="20"/>
        </w:rPr>
        <w:t xml:space="preserve"> 1991</w:t>
      </w:r>
      <w:r w:rsidR="001A566F">
        <w:rPr>
          <w:sz w:val="20"/>
          <w:szCs w:val="20"/>
        </w:rPr>
        <w:t>)</w:t>
      </w:r>
      <w:r>
        <w:rPr>
          <w:sz w:val="20"/>
          <w:szCs w:val="20"/>
        </w:rPr>
        <w:t xml:space="preserve"> 11.</w:t>
      </w:r>
    </w:p>
  </w:footnote>
  <w:footnote w:id="45">
    <w:p w14:paraId="14799F9B" w14:textId="77777777" w:rsidR="0040793A" w:rsidRPr="00320E9E" w:rsidRDefault="0040793A" w:rsidP="0040793A">
      <w:pPr>
        <w:pStyle w:val="FootnoteText"/>
        <w:jc w:val="both"/>
      </w:pPr>
      <w:r w:rsidRPr="00320E9E">
        <w:rPr>
          <w:rStyle w:val="FootnoteReference"/>
        </w:rPr>
        <w:footnoteRef/>
      </w:r>
      <w:r w:rsidR="001A566F">
        <w:t xml:space="preserve"> John North, ‘</w:t>
      </w:r>
      <w:r w:rsidRPr="00320E9E">
        <w:t>Court Annexed Media</w:t>
      </w:r>
      <w:r w:rsidR="001A566F">
        <w:t>tion in Australia-an Overview’</w:t>
      </w:r>
      <w:r>
        <w:t>, paper presented at t</w:t>
      </w:r>
      <w:r w:rsidRPr="00845BEB">
        <w:t xml:space="preserve">he </w:t>
      </w:r>
      <w:r>
        <w:t>13</w:t>
      </w:r>
      <w:r w:rsidRPr="00F37571">
        <w:rPr>
          <w:vertAlign w:val="superscript"/>
        </w:rPr>
        <w:t>th</w:t>
      </w:r>
      <w:r>
        <w:t xml:space="preserve"> </w:t>
      </w:r>
      <w:r w:rsidRPr="00845BEB">
        <w:t>Malaysian Law Conference</w:t>
      </w:r>
      <w:r w:rsidRPr="00320E9E">
        <w:t>,</w:t>
      </w:r>
      <w:r>
        <w:t xml:space="preserve"> organised by </w:t>
      </w:r>
      <w:r w:rsidR="001A566F">
        <w:t xml:space="preserve">(Malaysian Bar Council, Malaysia 2005) </w:t>
      </w:r>
      <w:r>
        <w:t>2.</w:t>
      </w:r>
    </w:p>
  </w:footnote>
  <w:footnote w:id="46">
    <w:p w14:paraId="18ECBB94" w14:textId="77777777" w:rsidR="0040793A" w:rsidRPr="00320E9E" w:rsidRDefault="0040793A" w:rsidP="0040793A">
      <w:pPr>
        <w:pStyle w:val="FootnoteText"/>
        <w:jc w:val="both"/>
      </w:pPr>
      <w:r w:rsidRPr="00320E9E">
        <w:rPr>
          <w:rStyle w:val="FootnoteReference"/>
        </w:rPr>
        <w:footnoteRef/>
      </w:r>
      <w:r w:rsidRPr="00320E9E">
        <w:t xml:space="preserve"> The centre which is set up in the court building is said to be intended to send a strong message to litigants and lawyers that the process is under the umbrella of the courts. See further </w:t>
      </w:r>
      <w:r w:rsidRPr="00F37571">
        <w:rPr>
          <w:u w:val="single"/>
        </w:rPr>
        <w:t>&lt;http://www.theborneopost.com/2011/08/26/chief-justice-says-court-annexed-mediation-a-free-programme/&gt;</w:t>
      </w:r>
      <w:r w:rsidR="001A566F">
        <w:t xml:space="preserve"> accessed</w:t>
      </w:r>
      <w:r>
        <w:t xml:space="preserve"> on 30 October, 2013</w:t>
      </w:r>
      <w:r w:rsidRPr="00320E9E">
        <w:t xml:space="preserve">. </w:t>
      </w:r>
    </w:p>
  </w:footnote>
  <w:footnote w:id="47">
    <w:p w14:paraId="4CE4CE11" w14:textId="77777777" w:rsidR="0040793A" w:rsidRPr="00320E9E" w:rsidRDefault="0040793A" w:rsidP="0040793A">
      <w:pPr>
        <w:pStyle w:val="FootnoteText"/>
        <w:jc w:val="both"/>
      </w:pPr>
      <w:r w:rsidRPr="00320E9E">
        <w:rPr>
          <w:rStyle w:val="FootnoteReference"/>
        </w:rPr>
        <w:footnoteRef/>
      </w:r>
      <w:r w:rsidR="001A566F">
        <w:t xml:space="preserve"> Nurah Sabahiah Mohamed, Court Annexed Mediation</w:t>
      </w:r>
      <w:r w:rsidRPr="00320E9E">
        <w:t xml:space="preserve"> in </w:t>
      </w:r>
      <w:r w:rsidR="001A566F" w:rsidRPr="001A566F">
        <w:t>Mohammad Naqib Ishan Jan and Ashgar Ali Ali Mohamed</w:t>
      </w:r>
      <w:r w:rsidR="001A566F">
        <w:t xml:space="preserve"> (eds),</w:t>
      </w:r>
      <w:r w:rsidR="001A566F" w:rsidRPr="001A566F">
        <w:rPr>
          <w:i/>
          <w:iCs/>
        </w:rPr>
        <w:t xml:space="preserve"> </w:t>
      </w:r>
      <w:r w:rsidRPr="001A566F">
        <w:rPr>
          <w:iCs/>
        </w:rPr>
        <w:t>Mediation in Malaysia: The Law and Practice</w:t>
      </w:r>
      <w:r w:rsidR="001A566F">
        <w:t xml:space="preserve"> (</w:t>
      </w:r>
      <w:r>
        <w:t>Lexis Nexis, 2010</w:t>
      </w:r>
      <w:r w:rsidR="001A566F">
        <w:t>)</w:t>
      </w:r>
      <w:r>
        <w:t xml:space="preserve"> </w:t>
      </w:r>
      <w:r w:rsidRPr="00320E9E">
        <w:t>433.</w:t>
      </w:r>
    </w:p>
  </w:footnote>
  <w:footnote w:id="48">
    <w:p w14:paraId="00C24FF3" w14:textId="77777777" w:rsidR="0040793A" w:rsidRPr="00320E9E" w:rsidRDefault="0040793A" w:rsidP="0040793A">
      <w:pPr>
        <w:pStyle w:val="FootnoteText"/>
        <w:jc w:val="both"/>
        <w:rPr>
          <w:lang w:val="en-MY"/>
        </w:rPr>
      </w:pPr>
      <w:r w:rsidRPr="00320E9E">
        <w:rPr>
          <w:rStyle w:val="FootnoteReference"/>
        </w:rPr>
        <w:footnoteRef/>
      </w:r>
      <w:r w:rsidRPr="00320E9E">
        <w:t xml:space="preserve"> </w:t>
      </w:r>
      <w:r>
        <w:rPr>
          <w:lang w:val="en-MY"/>
        </w:rPr>
        <w:t>Surianom Miskam, Nor</w:t>
      </w:r>
      <w:r w:rsidR="001A566F">
        <w:rPr>
          <w:lang w:val="en-MY"/>
        </w:rPr>
        <w:t>’Adha Abdul Hamid, ‘</w:t>
      </w:r>
      <w:r w:rsidRPr="00320E9E">
        <w:rPr>
          <w:lang w:val="en-MY"/>
        </w:rPr>
        <w:t>Alternative Dispute Resolution in Islamic Finance: From Adversa</w:t>
      </w:r>
      <w:r w:rsidR="001A566F">
        <w:rPr>
          <w:lang w:val="en-MY"/>
        </w:rPr>
        <w:t>rial to Non-Adversarial Justice’</w:t>
      </w:r>
      <w:r w:rsidRPr="00320E9E">
        <w:rPr>
          <w:lang w:val="en-MY"/>
        </w:rPr>
        <w:t>,</w:t>
      </w:r>
      <w:r>
        <w:rPr>
          <w:lang w:val="en-MY"/>
        </w:rPr>
        <w:t xml:space="preserve"> paper presented at t</w:t>
      </w:r>
      <w:r w:rsidRPr="001F1E20">
        <w:rPr>
          <w:iCs/>
          <w:lang w:val="en-MY"/>
        </w:rPr>
        <w:t>he Asian Business and Management Conference</w:t>
      </w:r>
      <w:r>
        <w:rPr>
          <w:i/>
          <w:lang w:val="en-MY"/>
        </w:rPr>
        <w:t>,</w:t>
      </w:r>
      <w:r>
        <w:rPr>
          <w:iCs/>
          <w:lang w:val="en-MY"/>
        </w:rPr>
        <w:t xml:space="preserve"> organised by the International Academic Forum, </w:t>
      </w:r>
      <w:r w:rsidR="001A566F">
        <w:rPr>
          <w:iCs/>
          <w:lang w:val="en-MY"/>
        </w:rPr>
        <w:t>(Osaka, Japan 2011)</w:t>
      </w:r>
      <w:r w:rsidRPr="00320E9E">
        <w:rPr>
          <w:iCs/>
          <w:lang w:val="en-MY"/>
        </w:rPr>
        <w:t xml:space="preserve"> </w:t>
      </w:r>
      <w:r w:rsidRPr="00320E9E">
        <w:rPr>
          <w:lang w:val="en-MY"/>
        </w:rPr>
        <w:t>232.</w:t>
      </w:r>
    </w:p>
  </w:footnote>
  <w:footnote w:id="49">
    <w:p w14:paraId="3981D4BA" w14:textId="77777777" w:rsidR="0040793A" w:rsidRPr="00320E9E" w:rsidRDefault="0040793A" w:rsidP="0040793A">
      <w:pPr>
        <w:pStyle w:val="FootnoteText"/>
        <w:jc w:val="both"/>
      </w:pPr>
      <w:r w:rsidRPr="00320E9E">
        <w:rPr>
          <w:rStyle w:val="FootnoteReference"/>
        </w:rPr>
        <w:footnoteRef/>
      </w:r>
      <w:r>
        <w:t xml:space="preserve"> </w:t>
      </w:r>
      <w:r w:rsidRPr="00320E9E">
        <w:t>Low Hop</w:t>
      </w:r>
      <w:r>
        <w:t xml:space="preserve"> Bing</w:t>
      </w:r>
      <w:r w:rsidR="001A566F">
        <w:t>, ‘</w:t>
      </w:r>
      <w:r w:rsidRPr="00320E9E">
        <w:t>Mediation: The Way</w:t>
      </w:r>
      <w:r w:rsidR="001A566F">
        <w:t xml:space="preserve"> Forward Challenges &amp; Solutions’</w:t>
      </w:r>
      <w:r w:rsidRPr="00320E9E">
        <w:t xml:space="preserve">, </w:t>
      </w:r>
      <w:r>
        <w:t xml:space="preserve">paper presented at </w:t>
      </w:r>
      <w:r w:rsidRPr="0048514F">
        <w:t>Seminar on Mediation-The Navigation of Malaysian Mediation-Route to Resolutions</w:t>
      </w:r>
      <w:r w:rsidRPr="00320E9E">
        <w:t xml:space="preserve">, </w:t>
      </w:r>
      <w:r>
        <w:t xml:space="preserve">organised by </w:t>
      </w:r>
      <w:r w:rsidR="001A566F">
        <w:t>the Attorney General’s Chambers</w:t>
      </w:r>
      <w:r>
        <w:t xml:space="preserve"> </w:t>
      </w:r>
      <w:r w:rsidR="001A566F">
        <w:t>(</w:t>
      </w:r>
      <w:r>
        <w:t>Putraja</w:t>
      </w:r>
      <w:r w:rsidR="001A566F">
        <w:t>ya, Malaysia 2010)</w:t>
      </w:r>
      <w:r w:rsidRPr="00320E9E">
        <w:t xml:space="preserve"> 12-13.</w:t>
      </w:r>
    </w:p>
  </w:footnote>
  <w:footnote w:id="50">
    <w:p w14:paraId="44CAA6EF" w14:textId="77777777" w:rsidR="0040793A" w:rsidRPr="00320E9E" w:rsidRDefault="0040793A" w:rsidP="0040793A">
      <w:pPr>
        <w:pStyle w:val="FootnoteText"/>
        <w:jc w:val="both"/>
      </w:pPr>
      <w:r w:rsidRPr="00320E9E">
        <w:rPr>
          <w:rStyle w:val="FootnoteReference"/>
        </w:rPr>
        <w:footnoteRef/>
      </w:r>
      <w:r w:rsidR="001A566F">
        <w:t xml:space="preserve"> ‘Chief Justice says court annexed mediation a free programme’</w:t>
      </w:r>
      <w:r>
        <w:t xml:space="preserve"> </w:t>
      </w:r>
      <w:r w:rsidRPr="006B4D29">
        <w:rPr>
          <w:u w:val="single"/>
        </w:rPr>
        <w:t>&lt;http://www.theborneopost.com/2011/08/26/chief-justice-says-court-annexed-mediation-a-free-programme/&gt;</w:t>
      </w:r>
      <w:r w:rsidR="001A566F">
        <w:t xml:space="preserve">  accessed</w:t>
      </w:r>
      <w:r>
        <w:t xml:space="preserve"> on 12 November, 2013</w:t>
      </w:r>
      <w:r w:rsidRPr="00320E9E">
        <w:t xml:space="preserve">. </w:t>
      </w:r>
    </w:p>
  </w:footnote>
  <w:footnote w:id="51">
    <w:p w14:paraId="2D72E914" w14:textId="77777777" w:rsidR="0040793A" w:rsidRPr="00320E9E" w:rsidRDefault="0040793A" w:rsidP="0040793A">
      <w:pPr>
        <w:pStyle w:val="FootnoteText"/>
        <w:jc w:val="both"/>
      </w:pPr>
      <w:r w:rsidRPr="00320E9E">
        <w:rPr>
          <w:rStyle w:val="FootnoteReference"/>
        </w:rPr>
        <w:footnoteRef/>
      </w:r>
      <w:r>
        <w:t xml:space="preserve"> </w:t>
      </w:r>
      <w:r w:rsidR="001A566F" w:rsidRPr="001A566F">
        <w:t xml:space="preserve">Low Hop Bing, ‘Mediation: The Way Forward Challenges &amp; Solutions’, paper presented at Seminar on Mediation-The Navigation of Malaysian Mediation-Route to Resolutions, organised by the Attorney General’s Chambers (Putrajaya, Malaysia 2010) </w:t>
      </w:r>
      <w:r w:rsidRPr="00320E9E">
        <w:t>29.</w:t>
      </w:r>
    </w:p>
  </w:footnote>
  <w:footnote w:id="52">
    <w:p w14:paraId="2C647E55" w14:textId="77777777" w:rsidR="0040793A" w:rsidRPr="00320E9E" w:rsidRDefault="0040793A" w:rsidP="0040793A">
      <w:pPr>
        <w:pStyle w:val="FootnoteText"/>
        <w:jc w:val="both"/>
      </w:pPr>
      <w:r w:rsidRPr="00320E9E">
        <w:rPr>
          <w:rStyle w:val="FootnoteReference"/>
        </w:rPr>
        <w:footnoteRef/>
      </w:r>
      <w:r w:rsidRPr="00320E9E">
        <w:t xml:space="preserve"> Hamid Sultan Abu Backer</w:t>
      </w:r>
      <w:r>
        <w:t>, “Mediation-is it Ultra vires”</w:t>
      </w:r>
      <w:r w:rsidRPr="00320E9E">
        <w:t xml:space="preserve"> </w:t>
      </w:r>
      <w:r>
        <w:t>(March/April, 2005)</w:t>
      </w:r>
      <w:r w:rsidRPr="00320E9E">
        <w:t xml:space="preserve"> </w:t>
      </w:r>
      <w:r w:rsidRPr="00BA40BE">
        <w:rPr>
          <w:i/>
        </w:rPr>
        <w:t>Infoline</w:t>
      </w:r>
      <w:r w:rsidRPr="006B4D29">
        <w:rPr>
          <w:i/>
        </w:rPr>
        <w:t xml:space="preserve"> </w:t>
      </w:r>
      <w:r w:rsidRPr="00320E9E">
        <w:t>36</w:t>
      </w:r>
      <w:r>
        <w:t>.</w:t>
      </w:r>
    </w:p>
  </w:footnote>
  <w:footnote w:id="53">
    <w:p w14:paraId="264F4318" w14:textId="77777777" w:rsidR="0040793A" w:rsidRPr="00320E9E" w:rsidRDefault="0040793A" w:rsidP="0040793A">
      <w:pPr>
        <w:pStyle w:val="FootnoteText"/>
        <w:jc w:val="both"/>
      </w:pPr>
      <w:r w:rsidRPr="00320E9E">
        <w:rPr>
          <w:rStyle w:val="FootnoteReference"/>
        </w:rPr>
        <w:footnoteRef/>
      </w:r>
      <w:r>
        <w:t>John North, n.44 at 13</w:t>
      </w:r>
      <w:r w:rsidRPr="00320E9E">
        <w:t>.</w:t>
      </w:r>
    </w:p>
  </w:footnote>
  <w:footnote w:id="54">
    <w:p w14:paraId="49CDBCBF" w14:textId="77777777" w:rsidR="0040793A" w:rsidRPr="00320E9E" w:rsidRDefault="0040793A" w:rsidP="0040793A">
      <w:pPr>
        <w:pStyle w:val="FootnoteText"/>
        <w:jc w:val="both"/>
      </w:pPr>
      <w:r w:rsidRPr="00320E9E">
        <w:rPr>
          <w:rStyle w:val="FootnoteReference"/>
        </w:rPr>
        <w:footnoteRef/>
      </w:r>
      <w:r>
        <w:t xml:space="preserve"> </w:t>
      </w:r>
      <w:r w:rsidR="001A566F" w:rsidRPr="001A566F">
        <w:t>Hakimah Yaacob, Alternative Dispute Resolution (ADR): Expanding Options in Local and Cross Border Islamic Finance Cases,</w:t>
      </w:r>
      <w:r w:rsidR="001A566F" w:rsidRPr="001A566F">
        <w:rPr>
          <w:i/>
        </w:rPr>
        <w:t xml:space="preserve"> </w:t>
      </w:r>
      <w:r w:rsidR="001A566F" w:rsidRPr="001A566F">
        <w:t>(International Shari’ah Research Academy for Islamic Finance, 2012)</w:t>
      </w:r>
      <w:r w:rsidRPr="00320E9E">
        <w:t>43.</w:t>
      </w:r>
    </w:p>
  </w:footnote>
  <w:footnote w:id="55">
    <w:p w14:paraId="74CEBABC" w14:textId="77777777" w:rsidR="0040793A" w:rsidRPr="006B4D29" w:rsidRDefault="0040793A" w:rsidP="0040793A">
      <w:pPr>
        <w:pStyle w:val="FootnoteText"/>
        <w:jc w:val="both"/>
        <w:rPr>
          <w:rStyle w:val="FootnoteReference"/>
        </w:rPr>
      </w:pPr>
      <w:r w:rsidRPr="00320E9E">
        <w:rPr>
          <w:rStyle w:val="FootnoteReference"/>
        </w:rPr>
        <w:footnoteRef/>
      </w:r>
      <w:r w:rsidRPr="00320E9E">
        <w:t xml:space="preserve"> Refer to FMB website </w:t>
      </w:r>
      <w:r w:rsidRPr="006B4D29">
        <w:rPr>
          <w:u w:val="single"/>
        </w:rPr>
        <w:t>&lt;http://www.fmb.org.my&gt;</w:t>
      </w:r>
      <w:r>
        <w:rPr>
          <w:rStyle w:val="FootnoteReference"/>
        </w:rPr>
        <w:t>.</w:t>
      </w:r>
      <w:r w:rsidRPr="006B4D29">
        <w:rPr>
          <w:rStyle w:val="FootnoteReference"/>
        </w:rPr>
        <w:t xml:space="preserve"> </w:t>
      </w:r>
    </w:p>
  </w:footnote>
  <w:footnote w:id="56">
    <w:p w14:paraId="39DEA5D9" w14:textId="77777777" w:rsidR="0040793A" w:rsidRPr="00320E9E" w:rsidRDefault="0040793A" w:rsidP="0040793A">
      <w:pPr>
        <w:pStyle w:val="FootnoteText"/>
        <w:jc w:val="both"/>
      </w:pPr>
      <w:r w:rsidRPr="00320E9E">
        <w:rPr>
          <w:rStyle w:val="FootnoteReference"/>
        </w:rPr>
        <w:footnoteRef/>
      </w:r>
      <w:r>
        <w:t xml:space="preserve"> </w:t>
      </w:r>
      <w:r w:rsidR="001A566F" w:rsidRPr="001A566F">
        <w:rPr>
          <w:lang w:val="en-MY"/>
        </w:rPr>
        <w:t>Surianom Miskam, Nor’Adha Abdul Hamid, ‘Alternative Dispute Resolution in Islamic Finance: From Adversarial to Non-Adversarial Justice’, paper presented at t</w:t>
      </w:r>
      <w:r w:rsidR="001A566F" w:rsidRPr="001A566F">
        <w:rPr>
          <w:iCs/>
          <w:lang w:val="en-MY"/>
        </w:rPr>
        <w:t>he Asian Business and Management Conference</w:t>
      </w:r>
      <w:r w:rsidR="001A566F" w:rsidRPr="001A566F">
        <w:rPr>
          <w:i/>
          <w:lang w:val="en-MY"/>
        </w:rPr>
        <w:t>,</w:t>
      </w:r>
      <w:r w:rsidR="001A566F" w:rsidRPr="001A566F">
        <w:rPr>
          <w:iCs/>
          <w:lang w:val="en-MY"/>
        </w:rPr>
        <w:t xml:space="preserve"> organised by the International Academic Forum, (Osaka, Japan 2011) </w:t>
      </w:r>
      <w:r w:rsidRPr="00320E9E">
        <w:t>229.</w:t>
      </w:r>
    </w:p>
  </w:footnote>
  <w:footnote w:id="57">
    <w:p w14:paraId="2D8D50DF" w14:textId="77777777" w:rsidR="0040793A" w:rsidRPr="00320E9E" w:rsidRDefault="0040793A" w:rsidP="0040793A">
      <w:pPr>
        <w:pStyle w:val="FootnoteText"/>
        <w:jc w:val="both"/>
      </w:pPr>
      <w:r w:rsidRPr="00320E9E">
        <w:rPr>
          <w:rStyle w:val="FootnoteReference"/>
        </w:rPr>
        <w:footnoteRef/>
      </w:r>
      <w:r>
        <w:t xml:space="preserve"> </w:t>
      </w:r>
      <w:r w:rsidR="001A566F" w:rsidRPr="001A566F">
        <w:t>Hakimah Yaacob, Alternative Dispute Resolution (ADR): Expanding Options in Local and Cross Border Islamic Finance Cases,</w:t>
      </w:r>
      <w:r w:rsidR="001A566F" w:rsidRPr="001A566F">
        <w:rPr>
          <w:i/>
        </w:rPr>
        <w:t xml:space="preserve"> </w:t>
      </w:r>
      <w:r w:rsidR="001A566F" w:rsidRPr="001A566F">
        <w:t>(International Shari’ah Research Academy for Islamic Finance, 2012)</w:t>
      </w:r>
      <w:r w:rsidR="001A566F">
        <w:t xml:space="preserve"> </w:t>
      </w:r>
      <w:r w:rsidRPr="00320E9E">
        <w:t>122.</w:t>
      </w:r>
      <w:r w:rsidRPr="00320E9E">
        <w:rPr>
          <w:lang w:val="en-MY"/>
        </w:rPr>
        <w:t xml:space="preserve"> </w:t>
      </w:r>
    </w:p>
  </w:footnote>
  <w:footnote w:id="58">
    <w:p w14:paraId="21644917" w14:textId="77777777" w:rsidR="0040793A" w:rsidRPr="00320E9E" w:rsidRDefault="0040793A" w:rsidP="0040793A">
      <w:pPr>
        <w:pStyle w:val="FootnoteText"/>
        <w:jc w:val="both"/>
      </w:pPr>
      <w:r w:rsidRPr="00320E9E">
        <w:rPr>
          <w:rStyle w:val="FootnoteReference"/>
        </w:rPr>
        <w:footnoteRef/>
      </w:r>
      <w:r w:rsidRPr="00320E9E">
        <w:t xml:space="preserve"> Datin N. Segara</w:t>
      </w:r>
      <w:r w:rsidR="001A566F">
        <w:t xml:space="preserve">, </w:t>
      </w:r>
      <w:r w:rsidRPr="00320E9E">
        <w:t>Mediation at the F</w:t>
      </w:r>
      <w:r w:rsidR="001A566F">
        <w:t>inancial Mediation Bureau (FMB)</w:t>
      </w:r>
      <w:r w:rsidRPr="00320E9E">
        <w:t xml:space="preserve"> in</w:t>
      </w:r>
      <w:r w:rsidR="001A566F" w:rsidRPr="001A566F">
        <w:rPr>
          <w:rFonts w:asciiTheme="minorHAnsi" w:eastAsiaTheme="minorHAnsi" w:hAnsiTheme="minorHAnsi" w:cstheme="minorBidi"/>
          <w:sz w:val="22"/>
          <w:szCs w:val="22"/>
          <w:lang w:eastAsia="en-US"/>
        </w:rPr>
        <w:t xml:space="preserve"> </w:t>
      </w:r>
      <w:r w:rsidR="001A566F" w:rsidRPr="001A566F">
        <w:t>Syed Ahmad Idid and Rashid Khalid</w:t>
      </w:r>
      <w:r w:rsidR="00D16613">
        <w:t xml:space="preserve"> (eds),</w:t>
      </w:r>
      <w:r w:rsidRPr="00320E9E">
        <w:t xml:space="preserve"> </w:t>
      </w:r>
      <w:r w:rsidRPr="00D16613">
        <w:t>Mediation and Arbitration in Asia-Pacific</w:t>
      </w:r>
      <w:r w:rsidRPr="00320E9E">
        <w:rPr>
          <w:i/>
        </w:rPr>
        <w:t>,</w:t>
      </w:r>
      <w:r w:rsidR="00D16613">
        <w:t xml:space="preserve"> (</w:t>
      </w:r>
      <w:r>
        <w:t xml:space="preserve">IIUM Press, </w:t>
      </w:r>
      <w:r w:rsidR="00D16613">
        <w:t>c</w:t>
      </w:r>
      <w:r>
        <w:t>2009</w:t>
      </w:r>
      <w:r w:rsidR="00D16613">
        <w:t>)</w:t>
      </w:r>
      <w:r w:rsidRPr="00320E9E">
        <w:t>151.</w:t>
      </w:r>
    </w:p>
  </w:footnote>
  <w:footnote w:id="59">
    <w:p w14:paraId="1F54B52C" w14:textId="77777777" w:rsidR="0040793A" w:rsidRPr="00320E9E" w:rsidRDefault="0040793A" w:rsidP="0040793A">
      <w:pPr>
        <w:pStyle w:val="FootnoteText"/>
        <w:jc w:val="both"/>
      </w:pPr>
      <w:r w:rsidRPr="00320E9E">
        <w:rPr>
          <w:rStyle w:val="FootnoteReference"/>
        </w:rPr>
        <w:footnoteRef/>
      </w:r>
      <w:r w:rsidRPr="00320E9E">
        <w:t xml:space="preserve"> Ibid.</w:t>
      </w:r>
    </w:p>
  </w:footnote>
  <w:footnote w:id="60">
    <w:p w14:paraId="0FB72D35" w14:textId="77777777" w:rsidR="0040793A" w:rsidRPr="00320E9E" w:rsidRDefault="0040793A" w:rsidP="0040793A">
      <w:pPr>
        <w:pStyle w:val="FootnoteText"/>
        <w:jc w:val="both"/>
      </w:pPr>
      <w:r w:rsidRPr="00320E9E">
        <w:rPr>
          <w:rStyle w:val="FootnoteReference"/>
        </w:rPr>
        <w:footnoteRef/>
      </w:r>
      <w:r w:rsidRPr="00320E9E">
        <w:t xml:space="preserve"> For fraud cases involving payment instruments, credit cards, charge cards, ATM cards and cheques  it is not more than RM25 000,for insurance and </w:t>
      </w:r>
      <w:r>
        <w:rPr>
          <w:rFonts w:eastAsia="Calibri"/>
          <w:i/>
          <w:lang w:eastAsia="en-US"/>
        </w:rPr>
        <w:t>takāful</w:t>
      </w:r>
      <w:r w:rsidRPr="00320E9E">
        <w:t xml:space="preserve"> related dispute, the bureau has jurisdiction to deal with cases where the claim does not exceed RM200 000 for motor and fire insurance/</w:t>
      </w:r>
      <w:r>
        <w:rPr>
          <w:rFonts w:eastAsia="Calibri"/>
          <w:i/>
          <w:lang w:eastAsia="en-US"/>
        </w:rPr>
        <w:t>takāful</w:t>
      </w:r>
      <w:r w:rsidRPr="00320E9E">
        <w:t xml:space="preserve">, RM100 000 for others and RM5000 for third party property damage. </w:t>
      </w:r>
    </w:p>
  </w:footnote>
  <w:footnote w:id="61">
    <w:p w14:paraId="014E0407" w14:textId="77777777" w:rsidR="0040793A" w:rsidRPr="00320E9E" w:rsidRDefault="0040793A" w:rsidP="0040793A">
      <w:pPr>
        <w:pStyle w:val="FootnoteText"/>
        <w:jc w:val="both"/>
      </w:pPr>
      <w:r w:rsidRPr="00320E9E">
        <w:rPr>
          <w:rStyle w:val="FootnoteReference"/>
        </w:rPr>
        <w:footnoteRef/>
      </w:r>
      <w:r>
        <w:t xml:space="preserve"> </w:t>
      </w:r>
      <w:r w:rsidR="00D16613" w:rsidRPr="00D16613">
        <w:rPr>
          <w:lang w:val="en-MY"/>
        </w:rPr>
        <w:t>Surianom Miskam, Nor’Adha Abdul Hamid, ‘Alternative Dispute Resolution in Islamic Finance: From Adversarial to Non-Adversarial Justice’, paper presented at t</w:t>
      </w:r>
      <w:r w:rsidR="00D16613" w:rsidRPr="00D16613">
        <w:rPr>
          <w:iCs/>
          <w:lang w:val="en-MY"/>
        </w:rPr>
        <w:t>he Asian Business and Management Conference</w:t>
      </w:r>
      <w:r w:rsidR="00D16613" w:rsidRPr="00D16613">
        <w:rPr>
          <w:i/>
          <w:lang w:val="en-MY"/>
        </w:rPr>
        <w:t>,</w:t>
      </w:r>
      <w:r w:rsidR="00D16613" w:rsidRPr="00D16613">
        <w:rPr>
          <w:iCs/>
          <w:lang w:val="en-MY"/>
        </w:rPr>
        <w:t xml:space="preserve"> organised by the International Academic Forum, (Osaka, Japan 2011) </w:t>
      </w:r>
      <w:r w:rsidRPr="00320E9E">
        <w:t>229.</w:t>
      </w:r>
    </w:p>
  </w:footnote>
  <w:footnote w:id="62">
    <w:p w14:paraId="28FD35BE" w14:textId="77777777" w:rsidR="0040793A" w:rsidRPr="00320E9E" w:rsidRDefault="0040793A" w:rsidP="0040793A">
      <w:pPr>
        <w:pStyle w:val="FootnoteText"/>
        <w:jc w:val="both"/>
        <w:rPr>
          <w:lang w:val="en-MY"/>
        </w:rPr>
      </w:pPr>
      <w:r w:rsidRPr="00320E9E">
        <w:rPr>
          <w:rStyle w:val="FootnoteReference"/>
        </w:rPr>
        <w:footnoteRef/>
      </w:r>
      <w:r w:rsidRPr="00320E9E">
        <w:t xml:space="preserve"> </w:t>
      </w:r>
      <w:r w:rsidRPr="00320E9E">
        <w:rPr>
          <w:lang w:val="en-MY"/>
        </w:rPr>
        <w:t>These items are part of the excluded jurisdiction of the bureau. (a)General Pricing; (b) Service to members; (c) Credit decisions- e.g. approvals, rejection and rescheduling of loans.; (d) Fraud cases in excess of RM 25,000.; (e) Complaints that are Time Barred i.e. not filed for more than 6 years after the claim became due.; and (f) Complaints which have already been referred to Court or arbitration.</w:t>
      </w:r>
    </w:p>
    <w:p w14:paraId="15039285" w14:textId="77777777" w:rsidR="0040793A" w:rsidRPr="00320E9E" w:rsidRDefault="0040793A" w:rsidP="0040793A">
      <w:pPr>
        <w:pStyle w:val="FootnoteText"/>
        <w:jc w:val="both"/>
        <w:rPr>
          <w:lang w:val="en-MY"/>
        </w:rPr>
      </w:pPr>
    </w:p>
  </w:footnote>
  <w:footnote w:id="63">
    <w:p w14:paraId="4518A4C9" w14:textId="77777777" w:rsidR="0040793A" w:rsidRPr="00320E9E" w:rsidRDefault="0040793A" w:rsidP="0040793A">
      <w:pPr>
        <w:pStyle w:val="FootnoteText"/>
        <w:jc w:val="both"/>
      </w:pPr>
      <w:r w:rsidRPr="00320E9E">
        <w:rPr>
          <w:rStyle w:val="FootnoteReference"/>
        </w:rPr>
        <w:footnoteRef/>
      </w:r>
      <w:r w:rsidRPr="00320E9E">
        <w:t xml:space="preserve"> Umar Oseni and Abu Umar Faruq Ahmad, </w:t>
      </w:r>
      <w:r w:rsidR="00D16613">
        <w:t>‘</w:t>
      </w:r>
      <w:r w:rsidRPr="00320E9E">
        <w:t>Dispute Resolution in Islamic Finance: A case analysis of Malaysia</w:t>
      </w:r>
      <w:r w:rsidR="00D16613">
        <w:t>’</w:t>
      </w:r>
      <w:r w:rsidRPr="00320E9E">
        <w:t xml:space="preserve"> </w:t>
      </w:r>
      <w:r>
        <w:t>paper presented at t</w:t>
      </w:r>
      <w:r w:rsidRPr="00190575">
        <w:t>he 8th International Conference o</w:t>
      </w:r>
      <w:r>
        <w:t xml:space="preserve">n Islamic Economics and Finance, organised by the </w:t>
      </w:r>
      <w:r w:rsidRPr="00190575">
        <w:t>Center for Islamic Economics and Finance, Qatar Faculty of Islamic Studies, Qatar Foundation,</w:t>
      </w:r>
      <w:r w:rsidRPr="00320E9E">
        <w:t xml:space="preserve"> </w:t>
      </w:r>
      <w:r w:rsidR="00D16613">
        <w:t>(Qatar 2011)</w:t>
      </w:r>
      <w:r w:rsidRPr="00320E9E">
        <w:t xml:space="preserve"> 13.</w:t>
      </w:r>
    </w:p>
  </w:footnote>
  <w:footnote w:id="64">
    <w:p w14:paraId="5D769882" w14:textId="77777777" w:rsidR="0040793A" w:rsidRPr="00320E9E" w:rsidRDefault="0040793A" w:rsidP="0040793A">
      <w:pPr>
        <w:pStyle w:val="FootnoteText"/>
        <w:jc w:val="both"/>
      </w:pPr>
      <w:r w:rsidRPr="00320E9E">
        <w:rPr>
          <w:rStyle w:val="FootnoteReference"/>
        </w:rPr>
        <w:footnoteRef/>
      </w:r>
      <w:r w:rsidRPr="00320E9E">
        <w:t xml:space="preserve"> Ibid.</w:t>
      </w:r>
    </w:p>
  </w:footnote>
  <w:footnote w:id="65">
    <w:p w14:paraId="29C5A186" w14:textId="77777777" w:rsidR="0040793A" w:rsidRPr="00320E9E" w:rsidRDefault="0040793A" w:rsidP="0040793A">
      <w:pPr>
        <w:pStyle w:val="FootnoteText"/>
        <w:jc w:val="both"/>
      </w:pPr>
      <w:r w:rsidRPr="00320E9E">
        <w:rPr>
          <w:rStyle w:val="FootnoteReference"/>
        </w:rPr>
        <w:footnoteRef/>
      </w:r>
      <w:r>
        <w:t xml:space="preserve"> </w:t>
      </w:r>
      <w:r w:rsidR="00D16613">
        <w:t>Su Geok Yiam, Court Annexed Mediation,</w:t>
      </w:r>
      <w:r w:rsidRPr="00320E9E">
        <w:t xml:space="preserve"> in</w:t>
      </w:r>
      <w:r w:rsidR="00D16613">
        <w:t xml:space="preserve"> </w:t>
      </w:r>
      <w:r w:rsidRPr="00320E9E">
        <w:t xml:space="preserve"> </w:t>
      </w:r>
      <w:r w:rsidR="00D16613" w:rsidRPr="00D16613">
        <w:t>Syed Ahmad Idid and Rashid Khalid</w:t>
      </w:r>
      <w:r w:rsidR="00D16613" w:rsidRPr="00D16613">
        <w:rPr>
          <w:i/>
        </w:rPr>
        <w:t xml:space="preserve"> </w:t>
      </w:r>
      <w:r w:rsidR="00D16613">
        <w:t>(eds),</w:t>
      </w:r>
      <w:r w:rsidRPr="00D16613">
        <w:t>Mediation and Arbitration in Asia-Pacific</w:t>
      </w:r>
      <w:r w:rsidR="00D16613">
        <w:rPr>
          <w:i/>
        </w:rPr>
        <w:t xml:space="preserve"> </w:t>
      </w:r>
      <w:r>
        <w:t xml:space="preserve"> </w:t>
      </w:r>
      <w:r w:rsidR="00D16613">
        <w:t>(</w:t>
      </w:r>
      <w:r>
        <w:t>IIUM Press, 2009</w:t>
      </w:r>
      <w:r w:rsidR="00D16613">
        <w:t>)</w:t>
      </w:r>
      <w:r w:rsidRPr="00320E9E">
        <w:t xml:space="preserve"> 39.</w:t>
      </w:r>
    </w:p>
  </w:footnote>
  <w:footnote w:id="66">
    <w:p w14:paraId="1DD2538B" w14:textId="77777777" w:rsidR="0040793A" w:rsidRPr="00320E9E" w:rsidRDefault="0040793A" w:rsidP="0040793A">
      <w:pPr>
        <w:pStyle w:val="FootnoteText"/>
        <w:jc w:val="both"/>
      </w:pPr>
      <w:r w:rsidRPr="00320E9E">
        <w:rPr>
          <w:rStyle w:val="FootnoteReference"/>
        </w:rPr>
        <w:footnoteRef/>
      </w:r>
      <w:r>
        <w:t xml:space="preserve"> Ibid.,</w:t>
      </w:r>
      <w:r w:rsidRPr="00320E9E">
        <w:t xml:space="preserve"> 40.</w:t>
      </w:r>
    </w:p>
  </w:footnote>
  <w:footnote w:id="67">
    <w:p w14:paraId="28DBC860" w14:textId="77777777" w:rsidR="0040793A" w:rsidRPr="00320E9E" w:rsidRDefault="0040793A" w:rsidP="0040793A">
      <w:pPr>
        <w:pStyle w:val="FootnoteText"/>
        <w:jc w:val="both"/>
      </w:pPr>
      <w:r w:rsidRPr="00320E9E">
        <w:rPr>
          <w:rStyle w:val="FootnoteReference"/>
        </w:rPr>
        <w:footnoteRef/>
      </w:r>
      <w:r w:rsidRPr="00320E9E">
        <w:t xml:space="preserve"> Ibid.</w:t>
      </w:r>
    </w:p>
  </w:footnote>
  <w:footnote w:id="68">
    <w:p w14:paraId="12A2CC4A" w14:textId="77777777" w:rsidR="0040793A" w:rsidRPr="00320E9E" w:rsidRDefault="0040793A" w:rsidP="0040793A">
      <w:pPr>
        <w:pStyle w:val="FootnoteText"/>
        <w:jc w:val="both"/>
        <w:rPr>
          <w:lang w:val="en-MY"/>
        </w:rPr>
      </w:pPr>
      <w:r w:rsidRPr="00320E9E">
        <w:rPr>
          <w:rStyle w:val="FootnoteReference"/>
        </w:rPr>
        <w:footnoteRef/>
      </w:r>
      <w:r w:rsidRPr="00320E9E">
        <w:t xml:space="preserve"> </w:t>
      </w:r>
      <w:r w:rsidRPr="00320E9E">
        <w:rPr>
          <w:lang w:val="en-MY"/>
        </w:rPr>
        <w:t xml:space="preserve">Some other problems of the Act that may affect the process of mediation under the auspices of MMC are as follows: (a) as the Act does not define a “written” invitation, it is unclear whether it includes electronic communication such as e-mail and short messaging service (SMS); (b) an acceptance is ineffective if a person has accepted, in writing, a written invitation within the period stipulated in the invitation, but his acceptance is received by the other person after the expiration of the stipulated period; and (c) there is no saving provision which allows parties to mutually waive the requirements under </w:t>
      </w:r>
      <w:r w:rsidRPr="00320E9E">
        <w:rPr>
          <w:i/>
          <w:iCs/>
          <w:lang w:val="en-MY"/>
        </w:rPr>
        <w:t>Section 5</w:t>
      </w:r>
      <w:r w:rsidRPr="00320E9E">
        <w:rPr>
          <w:lang w:val="en-MY"/>
        </w:rPr>
        <w:t> to preserve the commencement of medi</w:t>
      </w:r>
      <w:r w:rsidR="00D16613">
        <w:rPr>
          <w:lang w:val="en-MY"/>
        </w:rPr>
        <w:t xml:space="preserve">ation.  See &lt;www.klrca.org.my&gt; </w:t>
      </w:r>
      <w:r w:rsidRPr="00320E9E">
        <w:rPr>
          <w:lang w:val="en-MY"/>
        </w:rPr>
        <w:t xml:space="preserve">accessed </w:t>
      </w:r>
      <w:r w:rsidR="00D16613">
        <w:rPr>
          <w:lang w:val="en-MY"/>
        </w:rPr>
        <w:t>on 19 January, 2014</w:t>
      </w:r>
      <w:r w:rsidRPr="00320E9E">
        <w:rPr>
          <w:lang w:val="en-MY"/>
        </w:rPr>
        <w:t xml:space="preserve">. </w:t>
      </w:r>
    </w:p>
  </w:footnote>
  <w:footnote w:id="69">
    <w:p w14:paraId="0A83FC51" w14:textId="77777777" w:rsidR="0040793A" w:rsidRPr="00320E9E" w:rsidRDefault="0040793A" w:rsidP="0040793A">
      <w:pPr>
        <w:pStyle w:val="FootnoteText"/>
        <w:jc w:val="both"/>
      </w:pPr>
      <w:r w:rsidRPr="00320E9E">
        <w:rPr>
          <w:rStyle w:val="FootnoteReference"/>
        </w:rPr>
        <w:footnoteRef/>
      </w:r>
      <w:r>
        <w:t xml:space="preserve"> </w:t>
      </w:r>
      <w:r w:rsidRPr="00320E9E">
        <w:t>W</w:t>
      </w:r>
      <w:r w:rsidR="00D16613">
        <w:t>illiam K.H. Lau, ‘</w:t>
      </w:r>
      <w:r w:rsidRPr="00320E9E">
        <w:t>The Role of KLRCA as a Regional Centr</w:t>
      </w:r>
      <w:r w:rsidR="00D16613">
        <w:t>e for Arbitration and Mediation</w:t>
      </w:r>
      <w:r w:rsidRPr="00320E9E">
        <w:t xml:space="preserve"> in </w:t>
      </w:r>
      <w:r w:rsidR="00D16613" w:rsidRPr="00D16613">
        <w:t>Syed Khalid Rashid and Syed Ahmad Idid</w:t>
      </w:r>
      <w:r w:rsidR="00D16613">
        <w:t xml:space="preserve"> (eds),</w:t>
      </w:r>
      <w:r w:rsidR="00D16613" w:rsidRPr="00D16613">
        <w:rPr>
          <w:i/>
          <w:iCs/>
        </w:rPr>
        <w:t xml:space="preserve"> </w:t>
      </w:r>
      <w:r w:rsidRPr="00D16613">
        <w:rPr>
          <w:iCs/>
        </w:rPr>
        <w:t>Mediation and Arbitration in Asia-Pacific</w:t>
      </w:r>
      <w:r w:rsidR="00D16613">
        <w:t xml:space="preserve"> (IIUM Press</w:t>
      </w:r>
      <w:r>
        <w:t xml:space="preserve"> </w:t>
      </w:r>
      <w:r w:rsidR="00D16613">
        <w:t>c</w:t>
      </w:r>
      <w:r>
        <w:t>2009</w:t>
      </w:r>
      <w:r w:rsidR="00D16613">
        <w:t>)</w:t>
      </w:r>
      <w:r w:rsidRPr="00320E9E">
        <w:t xml:space="preserve"> 67.</w:t>
      </w:r>
    </w:p>
  </w:footnote>
  <w:footnote w:id="70">
    <w:p w14:paraId="04736335" w14:textId="77777777" w:rsidR="0040793A" w:rsidRPr="00320E9E" w:rsidRDefault="0040793A" w:rsidP="0040793A">
      <w:pPr>
        <w:pStyle w:val="FootnoteText"/>
        <w:jc w:val="both"/>
      </w:pPr>
      <w:r w:rsidRPr="00320E9E">
        <w:rPr>
          <w:rStyle w:val="FootnoteReference"/>
        </w:rPr>
        <w:footnoteRef/>
      </w:r>
      <w:r w:rsidRPr="00320E9E">
        <w:t xml:space="preserve"> Ibid.</w:t>
      </w:r>
    </w:p>
  </w:footnote>
  <w:footnote w:id="71">
    <w:p w14:paraId="59B18912" w14:textId="77777777" w:rsidR="0040793A" w:rsidRPr="00320E9E" w:rsidRDefault="0040793A" w:rsidP="0040793A">
      <w:pPr>
        <w:pStyle w:val="FootnoteText"/>
        <w:jc w:val="both"/>
      </w:pPr>
      <w:r w:rsidRPr="00320E9E">
        <w:rPr>
          <w:rStyle w:val="FootnoteReference"/>
        </w:rPr>
        <w:footnoteRef/>
      </w:r>
      <w:r>
        <w:t xml:space="preserve"> Ibid.,</w:t>
      </w:r>
      <w:r w:rsidRPr="00320E9E">
        <w:t xml:space="preserve"> 69.</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FB929C9"/>
    <w:multiLevelType w:val="hybridMultilevel"/>
    <w:tmpl w:val="3462F07E"/>
    <w:lvl w:ilvl="0" w:tplc="9E06F6EA">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63BA34D6"/>
    <w:multiLevelType w:val="multilevel"/>
    <w:tmpl w:val="6276E6E6"/>
    <w:lvl w:ilvl="0">
      <w:start w:val="1"/>
      <w:numFmt w:val="decimal"/>
      <w:lvlText w:val="%1."/>
      <w:lvlJc w:val="left"/>
      <w:pPr>
        <w:ind w:left="1080" w:hanging="360"/>
      </w:pPr>
      <w:rPr>
        <w:rFonts w:hint="default"/>
      </w:rPr>
    </w:lvl>
    <w:lvl w:ilvl="1">
      <w:start w:val="6"/>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num w:numId="1" w16cid:durableId="1969506690">
    <w:abstractNumId w:val="1"/>
  </w:num>
  <w:num w:numId="2" w16cid:durableId="193790415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793A"/>
    <w:rsid w:val="00047CDD"/>
    <w:rsid w:val="00050A7B"/>
    <w:rsid w:val="000B19FE"/>
    <w:rsid w:val="00172A0D"/>
    <w:rsid w:val="001A566F"/>
    <w:rsid w:val="00205B9C"/>
    <w:rsid w:val="002222DB"/>
    <w:rsid w:val="00277B18"/>
    <w:rsid w:val="0030131A"/>
    <w:rsid w:val="00337E59"/>
    <w:rsid w:val="0037074D"/>
    <w:rsid w:val="003E2DCE"/>
    <w:rsid w:val="0040793A"/>
    <w:rsid w:val="00451CA5"/>
    <w:rsid w:val="00454838"/>
    <w:rsid w:val="0046060C"/>
    <w:rsid w:val="004728F2"/>
    <w:rsid w:val="00480FB1"/>
    <w:rsid w:val="004842BE"/>
    <w:rsid w:val="005116F1"/>
    <w:rsid w:val="0056189A"/>
    <w:rsid w:val="005D21C2"/>
    <w:rsid w:val="005E5F11"/>
    <w:rsid w:val="0065369F"/>
    <w:rsid w:val="00714868"/>
    <w:rsid w:val="007261A0"/>
    <w:rsid w:val="00732CB8"/>
    <w:rsid w:val="007A5F0A"/>
    <w:rsid w:val="007F0A22"/>
    <w:rsid w:val="00AF3D0A"/>
    <w:rsid w:val="00B44B88"/>
    <w:rsid w:val="00B87132"/>
    <w:rsid w:val="00B964BB"/>
    <w:rsid w:val="00C072AE"/>
    <w:rsid w:val="00C64055"/>
    <w:rsid w:val="00C75E33"/>
    <w:rsid w:val="00CB24A1"/>
    <w:rsid w:val="00D16613"/>
    <w:rsid w:val="00DA5F50"/>
    <w:rsid w:val="00DD46EC"/>
    <w:rsid w:val="00DF7EA2"/>
    <w:rsid w:val="00E54580"/>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2EADF"/>
  <w15:chartTrackingRefBased/>
  <w15:docId w15:val="{7A55BA47-6574-4F30-BE20-B817CF99B3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40793A"/>
    <w:pPr>
      <w:spacing w:after="0" w:line="240" w:lineRule="auto"/>
    </w:pPr>
    <w:rPr>
      <w:rFonts w:ascii="Times New Roman" w:eastAsia="Times New Roman" w:hAnsi="Times New Roman" w:cs="Times New Roman"/>
      <w:sz w:val="20"/>
      <w:szCs w:val="20"/>
      <w:lang w:eastAsia="en-GB"/>
    </w:rPr>
  </w:style>
  <w:style w:type="character" w:customStyle="1" w:styleId="FootnoteTextChar">
    <w:name w:val="Footnote Text Char"/>
    <w:basedOn w:val="DefaultParagraphFont"/>
    <w:link w:val="FootnoteText"/>
    <w:uiPriority w:val="99"/>
    <w:rsid w:val="0040793A"/>
    <w:rPr>
      <w:rFonts w:ascii="Times New Roman" w:eastAsia="Times New Roman" w:hAnsi="Times New Roman" w:cs="Times New Roman"/>
      <w:sz w:val="20"/>
      <w:szCs w:val="20"/>
      <w:lang w:eastAsia="en-GB"/>
    </w:rPr>
  </w:style>
  <w:style w:type="character" w:styleId="FootnoteReference">
    <w:name w:val="footnote reference"/>
    <w:uiPriority w:val="99"/>
    <w:rsid w:val="0040793A"/>
    <w:rPr>
      <w:vertAlign w:val="superscript"/>
    </w:rPr>
  </w:style>
  <w:style w:type="paragraph" w:styleId="ListParagraph">
    <w:name w:val="List Paragraph"/>
    <w:basedOn w:val="Normal"/>
    <w:uiPriority w:val="34"/>
    <w:qFormat/>
    <w:rsid w:val="0037074D"/>
    <w:pPr>
      <w:ind w:left="720"/>
      <w:contextualSpacing/>
    </w:pPr>
  </w:style>
  <w:style w:type="character" w:styleId="Hyperlink">
    <w:name w:val="Hyperlink"/>
    <w:basedOn w:val="DefaultParagraphFont"/>
    <w:uiPriority w:val="99"/>
    <w:unhideWhenUsed/>
    <w:rsid w:val="00172A0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diagramLayout" Target="diagrams/layout2.xml"/><Relationship Id="rId18" Type="http://schemas.openxmlformats.org/officeDocument/2006/relationships/diagramLayout" Target="diagrams/layout3.xml"/><Relationship Id="rId26" Type="http://schemas.microsoft.com/office/2007/relationships/diagramDrawing" Target="diagrams/drawing4.xml"/><Relationship Id="rId3" Type="http://schemas.openxmlformats.org/officeDocument/2006/relationships/settings" Target="settings.xml"/><Relationship Id="rId21" Type="http://schemas.microsoft.com/office/2007/relationships/diagramDrawing" Target="diagrams/drawing3.xml"/><Relationship Id="rId7" Type="http://schemas.openxmlformats.org/officeDocument/2006/relationships/diagramData" Target="diagrams/data1.xml"/><Relationship Id="rId12" Type="http://schemas.openxmlformats.org/officeDocument/2006/relationships/diagramData" Target="diagrams/data2.xml"/><Relationship Id="rId17" Type="http://schemas.openxmlformats.org/officeDocument/2006/relationships/diagramData" Target="diagrams/data3.xml"/><Relationship Id="rId25" Type="http://schemas.openxmlformats.org/officeDocument/2006/relationships/diagramColors" Target="diagrams/colors4.xml"/><Relationship Id="rId33" Type="http://schemas.openxmlformats.org/officeDocument/2006/relationships/theme" Target="theme/theme1.xml"/><Relationship Id="rId2" Type="http://schemas.openxmlformats.org/officeDocument/2006/relationships/styles" Target="styles.xml"/><Relationship Id="rId16" Type="http://schemas.microsoft.com/office/2007/relationships/diagramDrawing" Target="diagrams/drawing2.xml"/><Relationship Id="rId20" Type="http://schemas.openxmlformats.org/officeDocument/2006/relationships/diagramColors" Target="diagrams/colors3.xml"/><Relationship Id="rId29" Type="http://schemas.openxmlformats.org/officeDocument/2006/relationships/diagramQuickStyle" Target="diagrams/quickStyle5.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24" Type="http://schemas.openxmlformats.org/officeDocument/2006/relationships/diagramQuickStyle" Target="diagrams/quickStyle4.xm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diagramColors" Target="diagrams/colors2.xml"/><Relationship Id="rId23" Type="http://schemas.openxmlformats.org/officeDocument/2006/relationships/diagramLayout" Target="diagrams/layout4.xml"/><Relationship Id="rId28" Type="http://schemas.openxmlformats.org/officeDocument/2006/relationships/diagramLayout" Target="diagrams/layout5.xml"/><Relationship Id="rId10" Type="http://schemas.openxmlformats.org/officeDocument/2006/relationships/diagramColors" Target="diagrams/colors1.xml"/><Relationship Id="rId19" Type="http://schemas.openxmlformats.org/officeDocument/2006/relationships/diagramQuickStyle" Target="diagrams/quickStyle3.xml"/><Relationship Id="rId31" Type="http://schemas.microsoft.com/office/2007/relationships/diagramDrawing" Target="diagrams/drawing5.xm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diagramQuickStyle" Target="diagrams/quickStyle2.xml"/><Relationship Id="rId22" Type="http://schemas.openxmlformats.org/officeDocument/2006/relationships/diagramData" Target="diagrams/data4.xml"/><Relationship Id="rId27" Type="http://schemas.openxmlformats.org/officeDocument/2006/relationships/diagramData" Target="diagrams/data5.xml"/><Relationship Id="rId30" Type="http://schemas.openxmlformats.org/officeDocument/2006/relationships/diagramColors" Target="diagrams/colors5.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921FC80-BB01-4E3E-A78F-9525B7F33925}" type="doc">
      <dgm:prSet loTypeId="urn:microsoft.com/office/officeart/2005/8/layout/matrix1" loCatId="matrix" qsTypeId="urn:microsoft.com/office/officeart/2005/8/quickstyle/simple1" qsCatId="simple" csTypeId="urn:microsoft.com/office/officeart/2005/8/colors/accent1_2" csCatId="accent1" phldr="1"/>
      <dgm:spPr/>
      <dgm:t>
        <a:bodyPr/>
        <a:lstStyle/>
        <a:p>
          <a:endParaRPr lang="en-MY"/>
        </a:p>
      </dgm:t>
    </dgm:pt>
    <dgm:pt modelId="{63829BD2-8EA1-4450-B5DB-ECBD5F118798}">
      <dgm:prSet phldrT="[Text]" custT="1"/>
      <dgm:spPr>
        <a:xfrm>
          <a:off x="1920240" y="1738354"/>
          <a:ext cx="1645920" cy="1158902"/>
        </a:xfrm>
        <a:solidFill>
          <a:srgbClr val="4F81BD">
            <a:tint val="60000"/>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MY" sz="1200" b="1">
              <a:solidFill>
                <a:sysClr val="windowText" lastClr="000000"/>
              </a:solidFill>
              <a:latin typeface="Times New Roman" panose="02020603050405020304" pitchFamily="18" charset="0"/>
              <a:ea typeface="+mn-ea"/>
              <a:cs typeface="Times New Roman" panose="02020603050405020304" pitchFamily="18" charset="0"/>
            </a:rPr>
            <a:t>COURT PROCESS</a:t>
          </a:r>
        </a:p>
      </dgm:t>
    </dgm:pt>
    <dgm:pt modelId="{F5453BCF-DA88-4E7B-B3C6-476A33C2D9C3}" type="parTrans" cxnId="{0DCCEAAD-79F7-4DEE-84AD-AB72A59A3104}">
      <dgm:prSet/>
      <dgm:spPr/>
      <dgm:t>
        <a:bodyPr/>
        <a:lstStyle/>
        <a:p>
          <a:endParaRPr lang="en-MY"/>
        </a:p>
      </dgm:t>
    </dgm:pt>
    <dgm:pt modelId="{E6CD08D1-DE42-490A-8F8B-BBDF1C27C7C8}" type="sibTrans" cxnId="{0DCCEAAD-79F7-4DEE-84AD-AB72A59A3104}">
      <dgm:prSet/>
      <dgm:spPr/>
      <dgm:t>
        <a:bodyPr/>
        <a:lstStyle/>
        <a:p>
          <a:endParaRPr lang="en-MY"/>
        </a:p>
      </dgm:t>
    </dgm:pt>
    <dgm:pt modelId="{96544361-C327-4D78-8CDB-38C24B4216F8}">
      <dgm:prSet phldrT="[Text]" custT="1"/>
      <dgm:spPr>
        <a:xfrm rot="16200000">
          <a:off x="212697" y="-206902"/>
          <a:ext cx="2317805" cy="274320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MY" sz="1200" b="1">
              <a:solidFill>
                <a:sysClr val="windowText" lastClr="000000"/>
              </a:solidFill>
              <a:latin typeface="Times New Roman" panose="02020603050405020304" pitchFamily="18" charset="0"/>
              <a:ea typeface="+mn-ea"/>
              <a:cs typeface="Times New Roman" panose="02020603050405020304" pitchFamily="18" charset="0"/>
            </a:rPr>
            <a:t>STRENGTHS</a:t>
          </a:r>
        </a:p>
        <a:p>
          <a:r>
            <a:rPr lang="en-MY" sz="1200" b="1">
              <a:solidFill>
                <a:sysClr val="window" lastClr="FFFFFF"/>
              </a:solidFill>
              <a:latin typeface="Times New Roman" panose="02020603050405020304" pitchFamily="18" charset="0"/>
              <a:ea typeface="+mn-ea"/>
              <a:cs typeface="Times New Roman" panose="02020603050405020304" pitchFamily="18" charset="0"/>
            </a:rPr>
            <a:t>Some Cases can only be Settled through a Court Process</a:t>
          </a:r>
        </a:p>
        <a:p>
          <a:r>
            <a:rPr lang="en-MY" sz="1200" b="1">
              <a:solidFill>
                <a:sysClr val="window" lastClr="FFFFFF"/>
              </a:solidFill>
              <a:latin typeface="Times New Roman" panose="02020603050405020304" pitchFamily="18" charset="0"/>
              <a:ea typeface="+mn-ea"/>
              <a:cs typeface="Times New Roman" panose="02020603050405020304" pitchFamily="18" charset="0"/>
            </a:rPr>
            <a:t>It is Result Oriented</a:t>
          </a:r>
        </a:p>
        <a:p>
          <a:r>
            <a:rPr lang="en-MY" sz="1200" b="1">
              <a:solidFill>
                <a:sysClr val="window" lastClr="FFFFFF"/>
              </a:solidFill>
              <a:latin typeface="Times New Roman" panose="02020603050405020304" pitchFamily="18" charset="0"/>
              <a:ea typeface="+mn-ea"/>
              <a:cs typeface="Times New Roman" panose="02020603050405020304" pitchFamily="18" charset="0"/>
            </a:rPr>
            <a:t>Impartiality of Judges is Guaranteed</a:t>
          </a:r>
        </a:p>
        <a:p>
          <a:r>
            <a:rPr lang="en-MY" sz="1200" b="1">
              <a:solidFill>
                <a:sysClr val="window" lastClr="FFFFFF"/>
              </a:solidFill>
              <a:latin typeface="Times New Roman" panose="02020603050405020304" pitchFamily="18" charset="0"/>
              <a:ea typeface="+mn-ea"/>
              <a:cs typeface="Times New Roman" panose="02020603050405020304" pitchFamily="18" charset="0"/>
            </a:rPr>
            <a:t>Binding and Enforceable Settlement</a:t>
          </a:r>
        </a:p>
      </dgm:t>
    </dgm:pt>
    <dgm:pt modelId="{02AD5769-6D67-4764-8A54-7152790680B3}" type="parTrans" cxnId="{8CEFA7EF-C5C4-4586-81A9-D59B531DA1E6}">
      <dgm:prSet/>
      <dgm:spPr/>
      <dgm:t>
        <a:bodyPr/>
        <a:lstStyle/>
        <a:p>
          <a:endParaRPr lang="en-MY"/>
        </a:p>
      </dgm:t>
    </dgm:pt>
    <dgm:pt modelId="{C397C7E1-C61A-4B53-BE74-C75535F3D5B0}" type="sibTrans" cxnId="{8CEFA7EF-C5C4-4586-81A9-D59B531DA1E6}">
      <dgm:prSet/>
      <dgm:spPr/>
      <dgm:t>
        <a:bodyPr/>
        <a:lstStyle/>
        <a:p>
          <a:endParaRPr lang="en-MY"/>
        </a:p>
      </dgm:t>
    </dgm:pt>
    <dgm:pt modelId="{032575C0-9ED7-4064-9E29-2D198122335E}">
      <dgm:prSet phldrT="[Text]" custT="1"/>
      <dgm:spPr>
        <a:xfrm>
          <a:off x="2743200" y="-5794"/>
          <a:ext cx="2743200" cy="234098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MY" sz="1200" b="1">
              <a:solidFill>
                <a:sysClr val="windowText" lastClr="000000"/>
              </a:solidFill>
              <a:latin typeface="Times New Roman" panose="02020603050405020304" pitchFamily="18" charset="0"/>
              <a:ea typeface="+mn-ea"/>
              <a:cs typeface="Times New Roman" panose="02020603050405020304" pitchFamily="18" charset="0"/>
            </a:rPr>
            <a:t>WEAKNESSES</a:t>
          </a:r>
        </a:p>
        <a:p>
          <a:r>
            <a:rPr lang="en-MY" sz="1200" b="1">
              <a:solidFill>
                <a:sysClr val="window" lastClr="FFFFFF"/>
              </a:solidFill>
              <a:latin typeface="Times New Roman" panose="02020603050405020304" pitchFamily="18" charset="0"/>
              <a:ea typeface="+mn-ea"/>
              <a:cs typeface="Times New Roman" panose="02020603050405020304" pitchFamily="18" charset="0"/>
            </a:rPr>
            <a:t>Lack of Expert Judges in The Courts</a:t>
          </a:r>
        </a:p>
        <a:p>
          <a:r>
            <a:rPr lang="en-MY" sz="1200" b="1">
              <a:solidFill>
                <a:sysClr val="window" lastClr="FFFFFF"/>
              </a:solidFill>
              <a:latin typeface="Times New Roman" panose="02020603050405020304" pitchFamily="18" charset="0"/>
              <a:ea typeface="+mn-ea"/>
              <a:cs typeface="Times New Roman" panose="02020603050405020304" pitchFamily="18" charset="0"/>
            </a:rPr>
            <a:t>Delay in Resolving Disputes</a:t>
          </a:r>
        </a:p>
        <a:p>
          <a:r>
            <a:rPr lang="en-MY" sz="1200" b="1">
              <a:solidFill>
                <a:sysClr val="window" lastClr="FFFFFF"/>
              </a:solidFill>
              <a:latin typeface="Times New Roman" panose="02020603050405020304" pitchFamily="18" charset="0"/>
              <a:ea typeface="+mn-ea"/>
              <a:cs typeface="Times New Roman" panose="02020603050405020304" pitchFamily="18" charset="0"/>
            </a:rPr>
            <a:t>Cost of Litigation</a:t>
          </a:r>
        </a:p>
        <a:p>
          <a:r>
            <a:rPr lang="en-MY" sz="1200" b="1">
              <a:solidFill>
                <a:sysClr val="window" lastClr="FFFFFF"/>
              </a:solidFill>
              <a:latin typeface="Times New Roman" panose="02020603050405020304" pitchFamily="18" charset="0"/>
              <a:ea typeface="+mn-ea"/>
              <a:cs typeface="Times New Roman" panose="02020603050405020304" pitchFamily="18" charset="0"/>
            </a:rPr>
            <a:t>Concentration of Powers in the Judges</a:t>
          </a:r>
        </a:p>
        <a:p>
          <a:r>
            <a:rPr lang="en-MY" sz="1200" b="1">
              <a:solidFill>
                <a:sysClr val="window" lastClr="FFFFFF"/>
              </a:solidFill>
              <a:latin typeface="Times New Roman" panose="02020603050405020304" pitchFamily="18" charset="0"/>
              <a:ea typeface="+mn-ea"/>
              <a:cs typeface="Times New Roman" panose="02020603050405020304" pitchFamily="18" charset="0"/>
            </a:rPr>
            <a:t>Adversarial/Cumbersome Procedure</a:t>
          </a:r>
        </a:p>
      </dgm:t>
    </dgm:pt>
    <dgm:pt modelId="{01929F94-BB86-48FD-A44D-04534E47CF33}" type="parTrans" cxnId="{CDFA6DD7-CE6D-4BD2-BFA0-DC53F4DB21A2}">
      <dgm:prSet/>
      <dgm:spPr/>
      <dgm:t>
        <a:bodyPr/>
        <a:lstStyle/>
        <a:p>
          <a:endParaRPr lang="en-MY"/>
        </a:p>
      </dgm:t>
    </dgm:pt>
    <dgm:pt modelId="{3B1EBC0C-E112-4A77-920B-66B5DDBD8FAC}" type="sibTrans" cxnId="{CDFA6DD7-CE6D-4BD2-BFA0-DC53F4DB21A2}">
      <dgm:prSet/>
      <dgm:spPr/>
      <dgm:t>
        <a:bodyPr/>
        <a:lstStyle/>
        <a:p>
          <a:endParaRPr lang="en-MY"/>
        </a:p>
      </dgm:t>
    </dgm:pt>
    <dgm:pt modelId="{9F8751E9-C4AA-4A53-BFDF-3C10703FF29C}">
      <dgm:prSet phldrT="[Text]" custT="1"/>
      <dgm:spPr>
        <a:xfrm rot="10800000">
          <a:off x="0" y="2323600"/>
          <a:ext cx="2743200" cy="2317805"/>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MY" sz="1200" b="1">
              <a:solidFill>
                <a:sysClr val="windowText" lastClr="000000"/>
              </a:solidFill>
              <a:latin typeface="Times New Roman" panose="02020603050405020304" pitchFamily="18" charset="0"/>
              <a:ea typeface="+mn-ea"/>
              <a:cs typeface="Times New Roman" panose="02020603050405020304" pitchFamily="18" charset="0"/>
            </a:rPr>
            <a:t>OPPORTUNITY</a:t>
          </a:r>
        </a:p>
        <a:p>
          <a:r>
            <a:rPr lang="en-MY" sz="1200" b="1">
              <a:solidFill>
                <a:sysClr val="window" lastClr="FFFFFF"/>
              </a:solidFill>
              <a:latin typeface="Times New Roman" panose="02020603050405020304" pitchFamily="18" charset="0"/>
              <a:ea typeface="+mn-ea"/>
              <a:cs typeface="Times New Roman" panose="02020603050405020304" pitchFamily="18" charset="0"/>
            </a:rPr>
            <a:t>Enforcement of the Settlement made in ADR Processes</a:t>
          </a:r>
        </a:p>
      </dgm:t>
    </dgm:pt>
    <dgm:pt modelId="{8F4F522D-498C-4407-ABA6-884237D97742}" type="parTrans" cxnId="{9BE0B710-90C7-4CE7-977F-954EDD7788BA}">
      <dgm:prSet/>
      <dgm:spPr/>
      <dgm:t>
        <a:bodyPr/>
        <a:lstStyle/>
        <a:p>
          <a:endParaRPr lang="en-MY"/>
        </a:p>
      </dgm:t>
    </dgm:pt>
    <dgm:pt modelId="{CB1B9DEE-5009-4E3A-9DAA-B346B914419F}" type="sibTrans" cxnId="{9BE0B710-90C7-4CE7-977F-954EDD7788BA}">
      <dgm:prSet/>
      <dgm:spPr/>
      <dgm:t>
        <a:bodyPr/>
        <a:lstStyle/>
        <a:p>
          <a:endParaRPr lang="en-MY"/>
        </a:p>
      </dgm:t>
    </dgm:pt>
    <dgm:pt modelId="{AC87A7EC-A9F2-4A08-85B9-FCBFD02C451E}">
      <dgm:prSet phldrT="[Text]" custT="1"/>
      <dgm:spPr>
        <a:xfrm rot="5400000">
          <a:off x="2955897" y="2110902"/>
          <a:ext cx="2317805" cy="274320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MY" sz="1200" b="1">
              <a:solidFill>
                <a:sysClr val="windowText" lastClr="000000"/>
              </a:solidFill>
              <a:latin typeface="Times New Roman" panose="02020603050405020304" pitchFamily="18" charset="0"/>
              <a:ea typeface="+mn-ea"/>
              <a:cs typeface="Times New Roman" panose="02020603050405020304" pitchFamily="18" charset="0"/>
            </a:rPr>
            <a:t>THREAT</a:t>
          </a:r>
        </a:p>
        <a:p>
          <a:r>
            <a:rPr lang="en-MY" sz="1200" b="1">
              <a:solidFill>
                <a:sysClr val="window" lastClr="FFFFFF"/>
              </a:solidFill>
              <a:latin typeface="Times New Roman" panose="02020603050405020304" pitchFamily="18" charset="0"/>
              <a:ea typeface="+mn-ea"/>
              <a:cs typeface="Times New Roman" panose="02020603050405020304" pitchFamily="18" charset="0"/>
            </a:rPr>
            <a:t>Civil Trained Judges Decide Islamic Banking Disputes</a:t>
          </a:r>
        </a:p>
      </dgm:t>
    </dgm:pt>
    <dgm:pt modelId="{86B4AB9E-C624-427D-B842-4418D6F7F0D8}" type="parTrans" cxnId="{04AE6880-3831-403A-9A74-E66F34C6DECD}">
      <dgm:prSet/>
      <dgm:spPr/>
      <dgm:t>
        <a:bodyPr/>
        <a:lstStyle/>
        <a:p>
          <a:endParaRPr lang="en-MY"/>
        </a:p>
      </dgm:t>
    </dgm:pt>
    <dgm:pt modelId="{55E2893D-BBF0-4A07-B239-2F86558C7BFF}" type="sibTrans" cxnId="{04AE6880-3831-403A-9A74-E66F34C6DECD}">
      <dgm:prSet/>
      <dgm:spPr/>
      <dgm:t>
        <a:bodyPr/>
        <a:lstStyle/>
        <a:p>
          <a:endParaRPr lang="en-MY"/>
        </a:p>
      </dgm:t>
    </dgm:pt>
    <dgm:pt modelId="{C0EEAEA3-697E-474B-A83D-303AD7FC552C}" type="pres">
      <dgm:prSet presAssocID="{6921FC80-BB01-4E3E-A78F-9525B7F33925}" presName="diagram" presStyleCnt="0">
        <dgm:presLayoutVars>
          <dgm:chMax val="1"/>
          <dgm:dir/>
          <dgm:animLvl val="ctr"/>
          <dgm:resizeHandles val="exact"/>
        </dgm:presLayoutVars>
      </dgm:prSet>
      <dgm:spPr/>
    </dgm:pt>
    <dgm:pt modelId="{827C5ECB-A986-42D9-8FB2-E69B9E9720C4}" type="pres">
      <dgm:prSet presAssocID="{6921FC80-BB01-4E3E-A78F-9525B7F33925}" presName="matrix" presStyleCnt="0"/>
      <dgm:spPr/>
    </dgm:pt>
    <dgm:pt modelId="{10910AA8-72A0-43FA-8ECC-B3814B2BE643}" type="pres">
      <dgm:prSet presAssocID="{6921FC80-BB01-4E3E-A78F-9525B7F33925}" presName="tile1" presStyleLbl="node1" presStyleIdx="0" presStyleCnt="4"/>
      <dgm:spPr>
        <a:prstGeom prst="round1Rect">
          <a:avLst/>
        </a:prstGeom>
      </dgm:spPr>
    </dgm:pt>
    <dgm:pt modelId="{76FDD7D3-27A1-4065-A403-3C2735ED3881}" type="pres">
      <dgm:prSet presAssocID="{6921FC80-BB01-4E3E-A78F-9525B7F33925}" presName="tile1text" presStyleLbl="node1" presStyleIdx="0" presStyleCnt="4">
        <dgm:presLayoutVars>
          <dgm:chMax val="0"/>
          <dgm:chPref val="0"/>
          <dgm:bulletEnabled val="1"/>
        </dgm:presLayoutVars>
      </dgm:prSet>
      <dgm:spPr/>
    </dgm:pt>
    <dgm:pt modelId="{BE42DEA0-FC6F-48EF-AAF4-522A1F8C49C5}" type="pres">
      <dgm:prSet presAssocID="{6921FC80-BB01-4E3E-A78F-9525B7F33925}" presName="tile2" presStyleLbl="node1" presStyleIdx="1" presStyleCnt="4" custScaleY="101000"/>
      <dgm:spPr>
        <a:prstGeom prst="round1Rect">
          <a:avLst/>
        </a:prstGeom>
      </dgm:spPr>
    </dgm:pt>
    <dgm:pt modelId="{FE8114E5-B856-46D0-97B4-EDD8E1101C26}" type="pres">
      <dgm:prSet presAssocID="{6921FC80-BB01-4E3E-A78F-9525B7F33925}" presName="tile2text" presStyleLbl="node1" presStyleIdx="1" presStyleCnt="4">
        <dgm:presLayoutVars>
          <dgm:chMax val="0"/>
          <dgm:chPref val="0"/>
          <dgm:bulletEnabled val="1"/>
        </dgm:presLayoutVars>
      </dgm:prSet>
      <dgm:spPr/>
    </dgm:pt>
    <dgm:pt modelId="{BA68E7D8-8C52-4BEB-B5BE-49398281BAA7}" type="pres">
      <dgm:prSet presAssocID="{6921FC80-BB01-4E3E-A78F-9525B7F33925}" presName="tile3" presStyleLbl="node1" presStyleIdx="2" presStyleCnt="4"/>
      <dgm:spPr>
        <a:prstGeom prst="round1Rect">
          <a:avLst/>
        </a:prstGeom>
      </dgm:spPr>
    </dgm:pt>
    <dgm:pt modelId="{BCBFD2A8-7901-4A0F-9321-01E2C2E2B002}" type="pres">
      <dgm:prSet presAssocID="{6921FC80-BB01-4E3E-A78F-9525B7F33925}" presName="tile3text" presStyleLbl="node1" presStyleIdx="2" presStyleCnt="4">
        <dgm:presLayoutVars>
          <dgm:chMax val="0"/>
          <dgm:chPref val="0"/>
          <dgm:bulletEnabled val="1"/>
        </dgm:presLayoutVars>
      </dgm:prSet>
      <dgm:spPr/>
    </dgm:pt>
    <dgm:pt modelId="{571518EB-7F12-48F4-B1E6-BEC5B6FC19B9}" type="pres">
      <dgm:prSet presAssocID="{6921FC80-BB01-4E3E-A78F-9525B7F33925}" presName="tile4" presStyleLbl="node1" presStyleIdx="3" presStyleCnt="4"/>
      <dgm:spPr>
        <a:prstGeom prst="round1Rect">
          <a:avLst/>
        </a:prstGeom>
      </dgm:spPr>
    </dgm:pt>
    <dgm:pt modelId="{19F8FD59-EEFE-4214-B90F-7E3482F9E8D2}" type="pres">
      <dgm:prSet presAssocID="{6921FC80-BB01-4E3E-A78F-9525B7F33925}" presName="tile4text" presStyleLbl="node1" presStyleIdx="3" presStyleCnt="4">
        <dgm:presLayoutVars>
          <dgm:chMax val="0"/>
          <dgm:chPref val="0"/>
          <dgm:bulletEnabled val="1"/>
        </dgm:presLayoutVars>
      </dgm:prSet>
      <dgm:spPr/>
    </dgm:pt>
    <dgm:pt modelId="{CA5947BC-CC30-4552-B1A9-DF141971BC1D}" type="pres">
      <dgm:prSet presAssocID="{6921FC80-BB01-4E3E-A78F-9525B7F33925}" presName="centerTile" presStyleLbl="fgShp" presStyleIdx="0" presStyleCnt="1">
        <dgm:presLayoutVars>
          <dgm:chMax val="0"/>
          <dgm:chPref val="0"/>
        </dgm:presLayoutVars>
      </dgm:prSet>
      <dgm:spPr>
        <a:prstGeom prst="roundRect">
          <a:avLst/>
        </a:prstGeom>
      </dgm:spPr>
    </dgm:pt>
  </dgm:ptLst>
  <dgm:cxnLst>
    <dgm:cxn modelId="{2363B30C-246A-4CB7-86DB-EB83666CAC8A}" type="presOf" srcId="{96544361-C327-4D78-8CDB-38C24B4216F8}" destId="{76FDD7D3-27A1-4065-A403-3C2735ED3881}" srcOrd="1" destOrd="0" presId="urn:microsoft.com/office/officeart/2005/8/layout/matrix1"/>
    <dgm:cxn modelId="{9BE0B710-90C7-4CE7-977F-954EDD7788BA}" srcId="{63829BD2-8EA1-4450-B5DB-ECBD5F118798}" destId="{9F8751E9-C4AA-4A53-BFDF-3C10703FF29C}" srcOrd="2" destOrd="0" parTransId="{8F4F522D-498C-4407-ABA6-884237D97742}" sibTransId="{CB1B9DEE-5009-4E3A-9DAA-B346B914419F}"/>
    <dgm:cxn modelId="{E285851E-8D25-4400-8B90-ACE851FE4A47}" type="presOf" srcId="{63829BD2-8EA1-4450-B5DB-ECBD5F118798}" destId="{CA5947BC-CC30-4552-B1A9-DF141971BC1D}" srcOrd="0" destOrd="0" presId="urn:microsoft.com/office/officeart/2005/8/layout/matrix1"/>
    <dgm:cxn modelId="{F3A7F02C-87A8-487C-A780-E50646F40261}" type="presOf" srcId="{032575C0-9ED7-4064-9E29-2D198122335E}" destId="{BE42DEA0-FC6F-48EF-AAF4-522A1F8C49C5}" srcOrd="0" destOrd="0" presId="urn:microsoft.com/office/officeart/2005/8/layout/matrix1"/>
    <dgm:cxn modelId="{EA00D15E-9C9E-4208-96A5-214FE45DA600}" type="presOf" srcId="{96544361-C327-4D78-8CDB-38C24B4216F8}" destId="{10910AA8-72A0-43FA-8ECC-B3814B2BE643}" srcOrd="0" destOrd="0" presId="urn:microsoft.com/office/officeart/2005/8/layout/matrix1"/>
    <dgm:cxn modelId="{FB744E66-2325-4319-813D-3175CE67CA5D}" type="presOf" srcId="{6921FC80-BB01-4E3E-A78F-9525B7F33925}" destId="{C0EEAEA3-697E-474B-A83D-303AD7FC552C}" srcOrd="0" destOrd="0" presId="urn:microsoft.com/office/officeart/2005/8/layout/matrix1"/>
    <dgm:cxn modelId="{FADF0B6F-ADDF-4919-83DB-87EFF6E233F8}" type="presOf" srcId="{AC87A7EC-A9F2-4A08-85B9-FCBFD02C451E}" destId="{571518EB-7F12-48F4-B1E6-BEC5B6FC19B9}" srcOrd="0" destOrd="0" presId="urn:microsoft.com/office/officeart/2005/8/layout/matrix1"/>
    <dgm:cxn modelId="{04AE6880-3831-403A-9A74-E66F34C6DECD}" srcId="{63829BD2-8EA1-4450-B5DB-ECBD5F118798}" destId="{AC87A7EC-A9F2-4A08-85B9-FCBFD02C451E}" srcOrd="3" destOrd="0" parTransId="{86B4AB9E-C624-427D-B842-4418D6F7F0D8}" sibTransId="{55E2893D-BBF0-4A07-B239-2F86558C7BFF}"/>
    <dgm:cxn modelId="{0DCCEAAD-79F7-4DEE-84AD-AB72A59A3104}" srcId="{6921FC80-BB01-4E3E-A78F-9525B7F33925}" destId="{63829BD2-8EA1-4450-B5DB-ECBD5F118798}" srcOrd="0" destOrd="0" parTransId="{F5453BCF-DA88-4E7B-B3C6-476A33C2D9C3}" sibTransId="{E6CD08D1-DE42-490A-8F8B-BBDF1C27C7C8}"/>
    <dgm:cxn modelId="{3B5324BB-A071-4498-A11D-A41822059E79}" type="presOf" srcId="{AC87A7EC-A9F2-4A08-85B9-FCBFD02C451E}" destId="{19F8FD59-EEFE-4214-B90F-7E3482F9E8D2}" srcOrd="1" destOrd="0" presId="urn:microsoft.com/office/officeart/2005/8/layout/matrix1"/>
    <dgm:cxn modelId="{C50C3ED2-A3A3-41CA-9A6E-CD7285BF3D8E}" type="presOf" srcId="{9F8751E9-C4AA-4A53-BFDF-3C10703FF29C}" destId="{BCBFD2A8-7901-4A0F-9321-01E2C2E2B002}" srcOrd="1" destOrd="0" presId="urn:microsoft.com/office/officeart/2005/8/layout/matrix1"/>
    <dgm:cxn modelId="{DCCE78D4-3772-494A-9289-6E74899D5C8A}" type="presOf" srcId="{032575C0-9ED7-4064-9E29-2D198122335E}" destId="{FE8114E5-B856-46D0-97B4-EDD8E1101C26}" srcOrd="1" destOrd="0" presId="urn:microsoft.com/office/officeart/2005/8/layout/matrix1"/>
    <dgm:cxn modelId="{CDFA6DD7-CE6D-4BD2-BFA0-DC53F4DB21A2}" srcId="{63829BD2-8EA1-4450-B5DB-ECBD5F118798}" destId="{032575C0-9ED7-4064-9E29-2D198122335E}" srcOrd="1" destOrd="0" parTransId="{01929F94-BB86-48FD-A44D-04534E47CF33}" sibTransId="{3B1EBC0C-E112-4A77-920B-66B5DDBD8FAC}"/>
    <dgm:cxn modelId="{29FFBEED-FB84-4456-886C-86C80C160893}" type="presOf" srcId="{9F8751E9-C4AA-4A53-BFDF-3C10703FF29C}" destId="{BA68E7D8-8C52-4BEB-B5BE-49398281BAA7}" srcOrd="0" destOrd="0" presId="urn:microsoft.com/office/officeart/2005/8/layout/matrix1"/>
    <dgm:cxn modelId="{8CEFA7EF-C5C4-4586-81A9-D59B531DA1E6}" srcId="{63829BD2-8EA1-4450-B5DB-ECBD5F118798}" destId="{96544361-C327-4D78-8CDB-38C24B4216F8}" srcOrd="0" destOrd="0" parTransId="{02AD5769-6D67-4764-8A54-7152790680B3}" sibTransId="{C397C7E1-C61A-4B53-BE74-C75535F3D5B0}"/>
    <dgm:cxn modelId="{A3269BE4-C9E2-4E24-86BC-F4AAE567EFE8}" type="presParOf" srcId="{C0EEAEA3-697E-474B-A83D-303AD7FC552C}" destId="{827C5ECB-A986-42D9-8FB2-E69B9E9720C4}" srcOrd="0" destOrd="0" presId="urn:microsoft.com/office/officeart/2005/8/layout/matrix1"/>
    <dgm:cxn modelId="{43629E12-112A-41DD-A8C6-7482B9C266F8}" type="presParOf" srcId="{827C5ECB-A986-42D9-8FB2-E69B9E9720C4}" destId="{10910AA8-72A0-43FA-8ECC-B3814B2BE643}" srcOrd="0" destOrd="0" presId="urn:microsoft.com/office/officeart/2005/8/layout/matrix1"/>
    <dgm:cxn modelId="{0ACDC8E9-BB52-45FA-AB04-AAA8D190D8E4}" type="presParOf" srcId="{827C5ECB-A986-42D9-8FB2-E69B9E9720C4}" destId="{76FDD7D3-27A1-4065-A403-3C2735ED3881}" srcOrd="1" destOrd="0" presId="urn:microsoft.com/office/officeart/2005/8/layout/matrix1"/>
    <dgm:cxn modelId="{3D75D6C5-6574-4BD6-82DF-B654166E8A1E}" type="presParOf" srcId="{827C5ECB-A986-42D9-8FB2-E69B9E9720C4}" destId="{BE42DEA0-FC6F-48EF-AAF4-522A1F8C49C5}" srcOrd="2" destOrd="0" presId="urn:microsoft.com/office/officeart/2005/8/layout/matrix1"/>
    <dgm:cxn modelId="{3467CB74-1D9A-4559-8226-E05A33E69DF9}" type="presParOf" srcId="{827C5ECB-A986-42D9-8FB2-E69B9E9720C4}" destId="{FE8114E5-B856-46D0-97B4-EDD8E1101C26}" srcOrd="3" destOrd="0" presId="urn:microsoft.com/office/officeart/2005/8/layout/matrix1"/>
    <dgm:cxn modelId="{2EF26B63-6A28-4F7E-8FC4-67D620E92EA0}" type="presParOf" srcId="{827C5ECB-A986-42D9-8FB2-E69B9E9720C4}" destId="{BA68E7D8-8C52-4BEB-B5BE-49398281BAA7}" srcOrd="4" destOrd="0" presId="urn:microsoft.com/office/officeart/2005/8/layout/matrix1"/>
    <dgm:cxn modelId="{9BF28CC5-F593-4048-B438-524BEC956A06}" type="presParOf" srcId="{827C5ECB-A986-42D9-8FB2-E69B9E9720C4}" destId="{BCBFD2A8-7901-4A0F-9321-01E2C2E2B002}" srcOrd="5" destOrd="0" presId="urn:microsoft.com/office/officeart/2005/8/layout/matrix1"/>
    <dgm:cxn modelId="{5A5B23CB-CF20-4DCC-80A4-5DBB63E303AF}" type="presParOf" srcId="{827C5ECB-A986-42D9-8FB2-E69B9E9720C4}" destId="{571518EB-7F12-48F4-B1E6-BEC5B6FC19B9}" srcOrd="6" destOrd="0" presId="urn:microsoft.com/office/officeart/2005/8/layout/matrix1"/>
    <dgm:cxn modelId="{339B1B39-CEB2-4C02-9EB3-7C035066664B}" type="presParOf" srcId="{827C5ECB-A986-42D9-8FB2-E69B9E9720C4}" destId="{19F8FD59-EEFE-4214-B90F-7E3482F9E8D2}" srcOrd="7" destOrd="0" presId="urn:microsoft.com/office/officeart/2005/8/layout/matrix1"/>
    <dgm:cxn modelId="{C2207B48-9BAA-4210-BC84-96DC651EB03A}" type="presParOf" srcId="{C0EEAEA3-697E-474B-A83D-303AD7FC552C}" destId="{CA5947BC-CC30-4552-B1A9-DF141971BC1D}" srcOrd="1" destOrd="0" presId="urn:microsoft.com/office/officeart/2005/8/layout/matrix1"/>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578E295-0890-4022-A79E-CDFC5B2E2CFD}" type="doc">
      <dgm:prSet loTypeId="urn:microsoft.com/office/officeart/2005/8/layout/matrix1" loCatId="matrix" qsTypeId="urn:microsoft.com/office/officeart/2005/8/quickstyle/simple1" qsCatId="simple" csTypeId="urn:microsoft.com/office/officeart/2005/8/colors/accent1_2" csCatId="accent1" phldr="1"/>
      <dgm:spPr/>
      <dgm:t>
        <a:bodyPr/>
        <a:lstStyle/>
        <a:p>
          <a:endParaRPr lang="en-MY"/>
        </a:p>
      </dgm:t>
    </dgm:pt>
    <dgm:pt modelId="{7E2ED0E4-8DED-451D-A88D-F860E59C4B00}">
      <dgm:prSet phldrT="[Text]" custT="1"/>
      <dgm:spPr>
        <a:xfrm>
          <a:off x="2011198" y="2204184"/>
          <a:ext cx="1723884" cy="731522"/>
        </a:xfrm>
        <a:solidFill>
          <a:srgbClr val="4F81BD">
            <a:tint val="60000"/>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0"/>
          <a:r>
            <a:rPr lang="en-MY" sz="1100" b="1">
              <a:solidFill>
                <a:sysClr val="windowText" lastClr="000000"/>
              </a:solidFill>
              <a:latin typeface="Times New Roman" panose="02020603050405020304" pitchFamily="18" charset="0"/>
              <a:ea typeface="+mn-ea"/>
              <a:cs typeface="Times New Roman" panose="02020603050405020304" pitchFamily="18" charset="0"/>
            </a:rPr>
            <a:t>ARBITRATION</a:t>
          </a:r>
        </a:p>
      </dgm:t>
    </dgm:pt>
    <dgm:pt modelId="{19E0F050-CA42-4846-98D1-AE7104CE1E6C}" type="parTrans" cxnId="{D5E5B2B8-D7C1-468D-9D40-6DEDA0A8DF23}">
      <dgm:prSet/>
      <dgm:spPr/>
      <dgm:t>
        <a:bodyPr/>
        <a:lstStyle/>
        <a:p>
          <a:endParaRPr lang="en-MY"/>
        </a:p>
      </dgm:t>
    </dgm:pt>
    <dgm:pt modelId="{75E25A79-25DE-49C1-96B0-3C908669B3E8}" type="sibTrans" cxnId="{D5E5B2B8-D7C1-468D-9D40-6DEDA0A8DF23}">
      <dgm:prSet/>
      <dgm:spPr/>
      <dgm:t>
        <a:bodyPr/>
        <a:lstStyle/>
        <a:p>
          <a:endParaRPr lang="en-MY"/>
        </a:p>
      </dgm:t>
    </dgm:pt>
    <dgm:pt modelId="{0E260A59-1379-4ACA-8DFD-36B0007534A2}">
      <dgm:prSet phldrT="[Text]" custT="1"/>
      <dgm:spPr>
        <a:xfrm rot="16200000">
          <a:off x="151597" y="-151597"/>
          <a:ext cx="2569945" cy="2873141"/>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endParaRPr lang="en-MY" sz="1400" b="1">
            <a:solidFill>
              <a:srgbClr val="C0504D"/>
            </a:solidFill>
            <a:latin typeface="Calibri"/>
            <a:ea typeface="+mn-ea"/>
            <a:cs typeface="+mn-cs"/>
          </a:endParaRPr>
        </a:p>
        <a:p>
          <a:r>
            <a:rPr lang="en-MY" sz="1200" b="1">
              <a:solidFill>
                <a:sysClr val="windowText" lastClr="000000"/>
              </a:solidFill>
              <a:latin typeface="Times New Roman" panose="02020603050405020304" pitchFamily="18" charset="0"/>
              <a:ea typeface="+mn-ea"/>
              <a:cs typeface="Times New Roman" panose="02020603050405020304" pitchFamily="18" charset="0"/>
            </a:rPr>
            <a:t>STRENGTHS</a:t>
          </a:r>
        </a:p>
        <a:p>
          <a:r>
            <a:rPr lang="en-MY" sz="1200" b="1">
              <a:solidFill>
                <a:sysClr val="window" lastClr="FFFFFF"/>
              </a:solidFill>
              <a:latin typeface="Times New Roman" panose="02020603050405020304" pitchFamily="18" charset="0"/>
              <a:ea typeface="+mn-ea"/>
              <a:cs typeface="Times New Roman" panose="02020603050405020304" pitchFamily="18" charset="0"/>
            </a:rPr>
            <a:t>Speedy and Efficient Resolution of Disputes</a:t>
          </a:r>
        </a:p>
        <a:p>
          <a:r>
            <a:rPr lang="en-MY" sz="1200" b="1">
              <a:solidFill>
                <a:sysClr val="window" lastClr="FFFFFF"/>
              </a:solidFill>
              <a:latin typeface="Times New Roman" panose="02020603050405020304" pitchFamily="18" charset="0"/>
              <a:ea typeface="+mn-ea"/>
              <a:cs typeface="Times New Roman" panose="02020603050405020304" pitchFamily="18" charset="0"/>
            </a:rPr>
            <a:t>Avenue for Appleal is Limited</a:t>
          </a:r>
        </a:p>
        <a:p>
          <a:r>
            <a:rPr lang="en-MY" sz="1200" b="1">
              <a:solidFill>
                <a:sysClr val="window" lastClr="FFFFFF"/>
              </a:solidFill>
              <a:latin typeface="Times New Roman" panose="02020603050405020304" pitchFamily="18" charset="0"/>
              <a:ea typeface="+mn-ea"/>
              <a:cs typeface="Times New Roman" panose="02020603050405020304" pitchFamily="18" charset="0"/>
            </a:rPr>
            <a:t>Awards are Enforceable</a:t>
          </a:r>
        </a:p>
        <a:p>
          <a:r>
            <a:rPr lang="en-MY" sz="1200" b="1">
              <a:solidFill>
                <a:sysClr val="window" lastClr="FFFFFF"/>
              </a:solidFill>
              <a:latin typeface="Times New Roman" panose="02020603050405020304" pitchFamily="18" charset="0"/>
              <a:ea typeface="+mn-ea"/>
              <a:cs typeface="Times New Roman" panose="02020603050405020304" pitchFamily="18" charset="0"/>
            </a:rPr>
            <a:t>Arbitrators can be Experts in Islmaic Banking</a:t>
          </a:r>
        </a:p>
        <a:p>
          <a:r>
            <a:rPr lang="en-MY" sz="1200" b="1">
              <a:solidFill>
                <a:sysClr val="window" lastClr="FFFFFF"/>
              </a:solidFill>
              <a:latin typeface="Times New Roman" panose="02020603050405020304" pitchFamily="18" charset="0"/>
              <a:ea typeface="+mn-ea"/>
              <a:cs typeface="Times New Roman" panose="02020603050405020304" pitchFamily="18" charset="0"/>
            </a:rPr>
            <a:t>The Process is Flexible, Adaptable and Predictable</a:t>
          </a:r>
        </a:p>
        <a:p>
          <a:r>
            <a:rPr lang="en-MY" sz="1200" b="1">
              <a:solidFill>
                <a:sysClr val="window" lastClr="FFFFFF"/>
              </a:solidFill>
              <a:latin typeface="Times New Roman" panose="02020603050405020304" pitchFamily="18" charset="0"/>
              <a:ea typeface="+mn-ea"/>
              <a:cs typeface="Times New Roman" panose="02020603050405020304" pitchFamily="18" charset="0"/>
            </a:rPr>
            <a:t>Confidentiality/Privacy of the Process</a:t>
          </a:r>
        </a:p>
        <a:p>
          <a:r>
            <a:rPr lang="en-MY" sz="1200" b="1">
              <a:solidFill>
                <a:sysClr val="window" lastClr="FFFFFF"/>
              </a:solidFill>
              <a:latin typeface="Times New Roman" panose="02020603050405020304" pitchFamily="18" charset="0"/>
              <a:ea typeface="+mn-ea"/>
              <a:cs typeface="Times New Roman" panose="02020603050405020304" pitchFamily="18" charset="0"/>
            </a:rPr>
            <a:t>There is Party-Participlation</a:t>
          </a:r>
        </a:p>
      </dgm:t>
    </dgm:pt>
    <dgm:pt modelId="{37354C48-A8F6-436A-A93D-E343AF245D59}" type="parTrans" cxnId="{0D3B0798-6E9C-4F57-8F09-6431212EAF47}">
      <dgm:prSet/>
      <dgm:spPr/>
      <dgm:t>
        <a:bodyPr/>
        <a:lstStyle/>
        <a:p>
          <a:endParaRPr lang="en-MY"/>
        </a:p>
      </dgm:t>
    </dgm:pt>
    <dgm:pt modelId="{1024FAB5-F99B-413E-B01C-30834F8F20E2}" type="sibTrans" cxnId="{0D3B0798-6E9C-4F57-8F09-6431212EAF47}">
      <dgm:prSet/>
      <dgm:spPr/>
      <dgm:t>
        <a:bodyPr/>
        <a:lstStyle/>
        <a:p>
          <a:endParaRPr lang="en-MY"/>
        </a:p>
      </dgm:t>
    </dgm:pt>
    <dgm:pt modelId="{5521EB29-8066-40EB-8D4E-A0630B892181}">
      <dgm:prSet phldrT="[Text]" custT="1"/>
      <dgm:spPr>
        <a:xfrm>
          <a:off x="2873141" y="0"/>
          <a:ext cx="2873141" cy="2569945"/>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endParaRPr lang="en-MY" sz="1400" b="1">
            <a:solidFill>
              <a:srgbClr val="C0504D"/>
            </a:solidFill>
            <a:latin typeface="Calibri"/>
            <a:ea typeface="+mn-ea"/>
            <a:cs typeface="+mn-cs"/>
          </a:endParaRPr>
        </a:p>
        <a:p>
          <a:r>
            <a:rPr lang="en-MY" sz="1200" b="1">
              <a:solidFill>
                <a:sysClr val="windowText" lastClr="000000"/>
              </a:solidFill>
              <a:latin typeface="Times New Roman" panose="02020603050405020304" pitchFamily="18" charset="0"/>
              <a:ea typeface="+mn-ea"/>
              <a:cs typeface="Times New Roman" panose="02020603050405020304" pitchFamily="18" charset="0"/>
            </a:rPr>
            <a:t>WEAKNESSES</a:t>
          </a:r>
        </a:p>
        <a:p>
          <a:r>
            <a:rPr lang="en-MY" sz="1200" b="1">
              <a:solidFill>
                <a:sysClr val="window" lastClr="FFFFFF"/>
              </a:solidFill>
              <a:latin typeface="Times New Roman" panose="02020603050405020304" pitchFamily="18" charset="0"/>
              <a:ea typeface="+mn-ea"/>
              <a:cs typeface="Times New Roman" panose="02020603050405020304" pitchFamily="18" charset="0"/>
            </a:rPr>
            <a:t>Quite Expensive</a:t>
          </a:r>
        </a:p>
        <a:p>
          <a:r>
            <a:rPr lang="en-MY" sz="1200" b="1">
              <a:solidFill>
                <a:sysClr val="window" lastClr="FFFFFF"/>
              </a:solidFill>
              <a:latin typeface="Times New Roman" panose="02020603050405020304" pitchFamily="18" charset="0"/>
              <a:ea typeface="+mn-ea"/>
              <a:cs typeface="Times New Roman" panose="02020603050405020304" pitchFamily="18" charset="0"/>
            </a:rPr>
            <a:t>Not always fast</a:t>
          </a:r>
        </a:p>
        <a:p>
          <a:r>
            <a:rPr lang="en-MY" sz="1200" b="1">
              <a:solidFill>
                <a:sysClr val="window" lastClr="FFFFFF"/>
              </a:solidFill>
              <a:latin typeface="Times New Roman" panose="02020603050405020304" pitchFamily="18" charset="0"/>
              <a:ea typeface="+mn-ea"/>
              <a:cs typeface="Times New Roman" panose="02020603050405020304" pitchFamily="18" charset="0"/>
            </a:rPr>
            <a:t>No longer informal</a:t>
          </a:r>
        </a:p>
        <a:p>
          <a:r>
            <a:rPr lang="en-MY" sz="1200" b="1">
              <a:solidFill>
                <a:sysClr val="window" lastClr="FFFFFF"/>
              </a:solidFill>
              <a:latin typeface="Times New Roman" panose="02020603050405020304" pitchFamily="18" charset="0"/>
              <a:ea typeface="+mn-ea"/>
              <a:cs typeface="Times New Roman" panose="02020603050405020304" pitchFamily="18" charset="0"/>
            </a:rPr>
            <a:t>Courts-Intervention</a:t>
          </a:r>
        </a:p>
        <a:p>
          <a:r>
            <a:rPr lang="en-MY" sz="1200" b="1">
              <a:solidFill>
                <a:sysClr val="window" lastClr="FFFFFF"/>
              </a:solidFill>
              <a:latin typeface="Times New Roman" panose="02020603050405020304" pitchFamily="18" charset="0"/>
              <a:ea typeface="+mn-ea"/>
              <a:cs typeface="Times New Roman" panose="02020603050405020304" pitchFamily="18" charset="0"/>
            </a:rPr>
            <a:t>Over Lawyering</a:t>
          </a:r>
        </a:p>
        <a:p>
          <a:r>
            <a:rPr lang="en-MY" sz="1200" b="1">
              <a:solidFill>
                <a:sysClr val="window" lastClr="FFFFFF"/>
              </a:solidFill>
              <a:latin typeface="Times New Roman" panose="02020603050405020304" pitchFamily="18" charset="0"/>
              <a:ea typeface="+mn-ea"/>
              <a:cs typeface="Times New Roman" panose="02020603050405020304" pitchFamily="18" charset="0"/>
            </a:rPr>
            <a:t>Arbitrators cannot act as Amiable Compositiuer</a:t>
          </a:r>
        </a:p>
      </dgm:t>
    </dgm:pt>
    <dgm:pt modelId="{A2D4D2EA-3DBF-49B9-94D3-1B8440E141E5}" type="parTrans" cxnId="{436A7D9D-603F-4443-BAC6-D00CDDD450A8}">
      <dgm:prSet/>
      <dgm:spPr/>
      <dgm:t>
        <a:bodyPr/>
        <a:lstStyle/>
        <a:p>
          <a:endParaRPr lang="en-MY"/>
        </a:p>
      </dgm:t>
    </dgm:pt>
    <dgm:pt modelId="{51AE1C8E-B668-493F-85A4-FC087E7B22DE}" type="sibTrans" cxnId="{436A7D9D-603F-4443-BAC6-D00CDDD450A8}">
      <dgm:prSet/>
      <dgm:spPr/>
      <dgm:t>
        <a:bodyPr/>
        <a:lstStyle/>
        <a:p>
          <a:endParaRPr lang="en-MY"/>
        </a:p>
      </dgm:t>
    </dgm:pt>
    <dgm:pt modelId="{6737D184-6F4B-45AA-B8DB-4C2330836458}">
      <dgm:prSet phldrT="[Text]" custT="1"/>
      <dgm:spPr>
        <a:xfrm rot="10800000">
          <a:off x="0" y="2569945"/>
          <a:ext cx="2873141" cy="2569945"/>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MY" sz="1200" b="1">
              <a:solidFill>
                <a:sysClr val="windowText" lastClr="000000"/>
              </a:solidFill>
              <a:latin typeface="Times New Roman" panose="02020603050405020304" pitchFamily="18" charset="0"/>
              <a:ea typeface="+mn-ea"/>
              <a:cs typeface="Times New Roman" panose="02020603050405020304" pitchFamily="18" charset="0"/>
            </a:rPr>
            <a:t>OPPORTUNITIES</a:t>
          </a:r>
        </a:p>
        <a:p>
          <a:r>
            <a:rPr lang="en-MY" sz="1200" b="1">
              <a:solidFill>
                <a:sysClr val="window" lastClr="FFFFFF"/>
              </a:solidFill>
              <a:latin typeface="Times New Roman" panose="02020603050405020304" pitchFamily="18" charset="0"/>
              <a:ea typeface="+mn-ea"/>
              <a:cs typeface="Times New Roman" panose="02020603050405020304" pitchFamily="18" charset="0"/>
            </a:rPr>
            <a:t>Can be Consolidated with other Processes</a:t>
          </a:r>
        </a:p>
      </dgm:t>
    </dgm:pt>
    <dgm:pt modelId="{7C9391A3-BC51-4728-8B19-27CFC047E6DB}" type="parTrans" cxnId="{F4E3F5D3-13F9-474F-866D-74CE11E1D1DE}">
      <dgm:prSet/>
      <dgm:spPr/>
      <dgm:t>
        <a:bodyPr/>
        <a:lstStyle/>
        <a:p>
          <a:endParaRPr lang="en-MY"/>
        </a:p>
      </dgm:t>
    </dgm:pt>
    <dgm:pt modelId="{93821EE3-C935-466C-8B53-25A086CCAA18}" type="sibTrans" cxnId="{F4E3F5D3-13F9-474F-866D-74CE11E1D1DE}">
      <dgm:prSet/>
      <dgm:spPr/>
      <dgm:t>
        <a:bodyPr/>
        <a:lstStyle/>
        <a:p>
          <a:endParaRPr lang="en-MY"/>
        </a:p>
      </dgm:t>
    </dgm:pt>
    <dgm:pt modelId="{44A70448-29D4-4CE5-8407-1595930C17E4}">
      <dgm:prSet phldrT="[Text]" custT="1"/>
      <dgm:spPr>
        <a:xfrm rot="5400000">
          <a:off x="3024738" y="2418347"/>
          <a:ext cx="2569945" cy="2873141"/>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MY" sz="1200" b="1">
              <a:solidFill>
                <a:sysClr val="windowText" lastClr="000000"/>
              </a:solidFill>
              <a:latin typeface="Times New Roman" panose="02020603050405020304" pitchFamily="18" charset="0"/>
              <a:ea typeface="+mn-ea"/>
              <a:cs typeface="Times New Roman" panose="02020603050405020304" pitchFamily="18" charset="0"/>
            </a:rPr>
            <a:t>THREATS</a:t>
          </a:r>
        </a:p>
        <a:p>
          <a:r>
            <a:rPr lang="en-MY" sz="1200" b="1">
              <a:solidFill>
                <a:sysClr val="window" lastClr="FFFFFF"/>
              </a:solidFill>
              <a:latin typeface="Times New Roman" panose="02020603050405020304" pitchFamily="18" charset="0"/>
              <a:ea typeface="+mn-ea"/>
              <a:cs typeface="Times New Roman" panose="02020603050405020304" pitchFamily="18" charset="0"/>
            </a:rPr>
            <a:t>Arbitration Clauses  are not Properly Drafted</a:t>
          </a:r>
        </a:p>
        <a:p>
          <a:r>
            <a:rPr lang="en-MY" sz="1200" b="1">
              <a:solidFill>
                <a:sysClr val="window" lastClr="FFFFFF"/>
              </a:solidFill>
              <a:latin typeface="Times New Roman" panose="02020603050405020304" pitchFamily="18" charset="0"/>
              <a:ea typeface="+mn-ea"/>
              <a:cs typeface="Times New Roman" panose="02020603050405020304" pitchFamily="18" charset="0"/>
            </a:rPr>
            <a:t>Increasing Cost</a:t>
          </a:r>
        </a:p>
        <a:p>
          <a:r>
            <a:rPr lang="en-MY" sz="1200" b="1">
              <a:solidFill>
                <a:sysClr val="window" lastClr="FFFFFF"/>
              </a:solidFill>
              <a:latin typeface="Times New Roman" panose="02020603050405020304" pitchFamily="18" charset="0"/>
              <a:ea typeface="+mn-ea"/>
              <a:cs typeface="Times New Roman" panose="02020603050405020304" pitchFamily="18" charset="0"/>
            </a:rPr>
            <a:t>Attempt to Avoid Arbitration by Parties</a:t>
          </a:r>
        </a:p>
        <a:p>
          <a:r>
            <a:rPr lang="en-MY" sz="1200" b="1">
              <a:solidFill>
                <a:sysClr val="window" lastClr="FFFFFF"/>
              </a:solidFill>
              <a:latin typeface="Times New Roman" panose="02020603050405020304" pitchFamily="18" charset="0"/>
              <a:ea typeface="+mn-ea"/>
              <a:cs typeface="Times New Roman" panose="02020603050405020304" pitchFamily="18" charset="0"/>
            </a:rPr>
            <a:t>Limitations on Discovery Proceedings</a:t>
          </a:r>
        </a:p>
      </dgm:t>
    </dgm:pt>
    <dgm:pt modelId="{601A5314-42AC-4900-A477-AC238E733F07}" type="parTrans" cxnId="{4AE55EB6-92FC-4FFD-8F89-8E6A412A28B9}">
      <dgm:prSet/>
      <dgm:spPr/>
      <dgm:t>
        <a:bodyPr/>
        <a:lstStyle/>
        <a:p>
          <a:endParaRPr lang="en-MY"/>
        </a:p>
      </dgm:t>
    </dgm:pt>
    <dgm:pt modelId="{F163DC76-E3ED-4F4C-830D-1202222BEC8C}" type="sibTrans" cxnId="{4AE55EB6-92FC-4FFD-8F89-8E6A412A28B9}">
      <dgm:prSet/>
      <dgm:spPr/>
      <dgm:t>
        <a:bodyPr/>
        <a:lstStyle/>
        <a:p>
          <a:endParaRPr lang="en-MY"/>
        </a:p>
      </dgm:t>
    </dgm:pt>
    <dgm:pt modelId="{B7FC9310-E094-4840-BBD1-A92C2D60E09B}" type="pres">
      <dgm:prSet presAssocID="{9578E295-0890-4022-A79E-CDFC5B2E2CFD}" presName="diagram" presStyleCnt="0">
        <dgm:presLayoutVars>
          <dgm:chMax val="1"/>
          <dgm:dir/>
          <dgm:animLvl val="ctr"/>
          <dgm:resizeHandles val="exact"/>
        </dgm:presLayoutVars>
      </dgm:prSet>
      <dgm:spPr/>
    </dgm:pt>
    <dgm:pt modelId="{31FB7CFF-CD9D-4085-849F-5C016E0D9570}" type="pres">
      <dgm:prSet presAssocID="{9578E295-0890-4022-A79E-CDFC5B2E2CFD}" presName="matrix" presStyleCnt="0"/>
      <dgm:spPr/>
    </dgm:pt>
    <dgm:pt modelId="{6B6736FE-2330-42FC-ADFD-80C48098A829}" type="pres">
      <dgm:prSet presAssocID="{9578E295-0890-4022-A79E-CDFC5B2E2CFD}" presName="tile1" presStyleLbl="node1" presStyleIdx="0" presStyleCnt="4"/>
      <dgm:spPr>
        <a:prstGeom prst="round1Rect">
          <a:avLst/>
        </a:prstGeom>
      </dgm:spPr>
    </dgm:pt>
    <dgm:pt modelId="{E619BD21-F6E1-45B6-B11D-898B87AD3F68}" type="pres">
      <dgm:prSet presAssocID="{9578E295-0890-4022-A79E-CDFC5B2E2CFD}" presName="tile1text" presStyleLbl="node1" presStyleIdx="0" presStyleCnt="4">
        <dgm:presLayoutVars>
          <dgm:chMax val="0"/>
          <dgm:chPref val="0"/>
          <dgm:bulletEnabled val="1"/>
        </dgm:presLayoutVars>
      </dgm:prSet>
      <dgm:spPr/>
    </dgm:pt>
    <dgm:pt modelId="{9ED7C165-4B20-47EA-A5CE-8750A7D60A2D}" type="pres">
      <dgm:prSet presAssocID="{9578E295-0890-4022-A79E-CDFC5B2E2CFD}" presName="tile2" presStyleLbl="node1" presStyleIdx="1" presStyleCnt="4"/>
      <dgm:spPr>
        <a:prstGeom prst="round1Rect">
          <a:avLst/>
        </a:prstGeom>
      </dgm:spPr>
    </dgm:pt>
    <dgm:pt modelId="{F3841A6B-EF10-42F0-A30B-2CC9AB1A3EAD}" type="pres">
      <dgm:prSet presAssocID="{9578E295-0890-4022-A79E-CDFC5B2E2CFD}" presName="tile2text" presStyleLbl="node1" presStyleIdx="1" presStyleCnt="4">
        <dgm:presLayoutVars>
          <dgm:chMax val="0"/>
          <dgm:chPref val="0"/>
          <dgm:bulletEnabled val="1"/>
        </dgm:presLayoutVars>
      </dgm:prSet>
      <dgm:spPr/>
    </dgm:pt>
    <dgm:pt modelId="{20E50E7D-5E63-4ACC-8A53-8A52030832D0}" type="pres">
      <dgm:prSet presAssocID="{9578E295-0890-4022-A79E-CDFC5B2E2CFD}" presName="tile3" presStyleLbl="node1" presStyleIdx="2" presStyleCnt="4"/>
      <dgm:spPr>
        <a:prstGeom prst="round1Rect">
          <a:avLst/>
        </a:prstGeom>
      </dgm:spPr>
    </dgm:pt>
    <dgm:pt modelId="{00000E8E-2749-42E1-9EEE-558CFC547C8D}" type="pres">
      <dgm:prSet presAssocID="{9578E295-0890-4022-A79E-CDFC5B2E2CFD}" presName="tile3text" presStyleLbl="node1" presStyleIdx="2" presStyleCnt="4">
        <dgm:presLayoutVars>
          <dgm:chMax val="0"/>
          <dgm:chPref val="0"/>
          <dgm:bulletEnabled val="1"/>
        </dgm:presLayoutVars>
      </dgm:prSet>
      <dgm:spPr/>
    </dgm:pt>
    <dgm:pt modelId="{36E2BA55-52FC-41F7-9FF1-93423D269F3B}" type="pres">
      <dgm:prSet presAssocID="{9578E295-0890-4022-A79E-CDFC5B2E2CFD}" presName="tile4" presStyleLbl="node1" presStyleIdx="3" presStyleCnt="4"/>
      <dgm:spPr>
        <a:prstGeom prst="round1Rect">
          <a:avLst/>
        </a:prstGeom>
      </dgm:spPr>
    </dgm:pt>
    <dgm:pt modelId="{2B2FDE33-DE5D-4AB0-ABDF-E9EFEF9A591C}" type="pres">
      <dgm:prSet presAssocID="{9578E295-0890-4022-A79E-CDFC5B2E2CFD}" presName="tile4text" presStyleLbl="node1" presStyleIdx="3" presStyleCnt="4">
        <dgm:presLayoutVars>
          <dgm:chMax val="0"/>
          <dgm:chPref val="0"/>
          <dgm:bulletEnabled val="1"/>
        </dgm:presLayoutVars>
      </dgm:prSet>
      <dgm:spPr/>
    </dgm:pt>
    <dgm:pt modelId="{D363A1B3-B8BE-49C3-BAB0-B6F03A53309A}" type="pres">
      <dgm:prSet presAssocID="{9578E295-0890-4022-A79E-CDFC5B2E2CFD}" presName="centerTile" presStyleLbl="fgShp" presStyleIdx="0" presStyleCnt="1" custScaleY="56929">
        <dgm:presLayoutVars>
          <dgm:chMax val="0"/>
          <dgm:chPref val="0"/>
        </dgm:presLayoutVars>
      </dgm:prSet>
      <dgm:spPr>
        <a:prstGeom prst="roundRect">
          <a:avLst/>
        </a:prstGeom>
      </dgm:spPr>
    </dgm:pt>
  </dgm:ptLst>
  <dgm:cxnLst>
    <dgm:cxn modelId="{BCEE8F00-88EB-4A43-A3F1-D4A1E0536A97}" type="presOf" srcId="{5521EB29-8066-40EB-8D4E-A0630B892181}" destId="{9ED7C165-4B20-47EA-A5CE-8750A7D60A2D}" srcOrd="0" destOrd="0" presId="urn:microsoft.com/office/officeart/2005/8/layout/matrix1"/>
    <dgm:cxn modelId="{A097B022-51A1-4C2D-A07F-6C0153EE78D2}" type="presOf" srcId="{5521EB29-8066-40EB-8D4E-A0630B892181}" destId="{F3841A6B-EF10-42F0-A30B-2CC9AB1A3EAD}" srcOrd="1" destOrd="0" presId="urn:microsoft.com/office/officeart/2005/8/layout/matrix1"/>
    <dgm:cxn modelId="{F5A30D41-5B42-4352-955E-12D3AEA66942}" type="presOf" srcId="{44A70448-29D4-4CE5-8407-1595930C17E4}" destId="{2B2FDE33-DE5D-4AB0-ABDF-E9EFEF9A591C}" srcOrd="1" destOrd="0" presId="urn:microsoft.com/office/officeart/2005/8/layout/matrix1"/>
    <dgm:cxn modelId="{91375355-CE81-4116-AD5D-4C1AF5056C97}" type="presOf" srcId="{6737D184-6F4B-45AA-B8DB-4C2330836458}" destId="{20E50E7D-5E63-4ACC-8A53-8A52030832D0}" srcOrd="0" destOrd="0" presId="urn:microsoft.com/office/officeart/2005/8/layout/matrix1"/>
    <dgm:cxn modelId="{48388592-6F71-47AF-A1CC-6458C2ADBCEA}" type="presOf" srcId="{44A70448-29D4-4CE5-8407-1595930C17E4}" destId="{36E2BA55-52FC-41F7-9FF1-93423D269F3B}" srcOrd="0" destOrd="0" presId="urn:microsoft.com/office/officeart/2005/8/layout/matrix1"/>
    <dgm:cxn modelId="{161E3593-19DE-45DE-9FC7-CFC95DB32573}" type="presOf" srcId="{9578E295-0890-4022-A79E-CDFC5B2E2CFD}" destId="{B7FC9310-E094-4840-BBD1-A92C2D60E09B}" srcOrd="0" destOrd="0" presId="urn:microsoft.com/office/officeart/2005/8/layout/matrix1"/>
    <dgm:cxn modelId="{0D3B0798-6E9C-4F57-8F09-6431212EAF47}" srcId="{7E2ED0E4-8DED-451D-A88D-F860E59C4B00}" destId="{0E260A59-1379-4ACA-8DFD-36B0007534A2}" srcOrd="0" destOrd="0" parTransId="{37354C48-A8F6-436A-A93D-E343AF245D59}" sibTransId="{1024FAB5-F99B-413E-B01C-30834F8F20E2}"/>
    <dgm:cxn modelId="{436A7D9D-603F-4443-BAC6-D00CDDD450A8}" srcId="{7E2ED0E4-8DED-451D-A88D-F860E59C4B00}" destId="{5521EB29-8066-40EB-8D4E-A0630B892181}" srcOrd="1" destOrd="0" parTransId="{A2D4D2EA-3DBF-49B9-94D3-1B8440E141E5}" sibTransId="{51AE1C8E-B668-493F-85A4-FC087E7B22DE}"/>
    <dgm:cxn modelId="{4AE55EB6-92FC-4FFD-8F89-8E6A412A28B9}" srcId="{7E2ED0E4-8DED-451D-A88D-F860E59C4B00}" destId="{44A70448-29D4-4CE5-8407-1595930C17E4}" srcOrd="3" destOrd="0" parTransId="{601A5314-42AC-4900-A477-AC238E733F07}" sibTransId="{F163DC76-E3ED-4F4C-830D-1202222BEC8C}"/>
    <dgm:cxn modelId="{D5E5B2B8-D7C1-468D-9D40-6DEDA0A8DF23}" srcId="{9578E295-0890-4022-A79E-CDFC5B2E2CFD}" destId="{7E2ED0E4-8DED-451D-A88D-F860E59C4B00}" srcOrd="0" destOrd="0" parTransId="{19E0F050-CA42-4846-98D1-AE7104CE1E6C}" sibTransId="{75E25A79-25DE-49C1-96B0-3C908669B3E8}"/>
    <dgm:cxn modelId="{25448AC0-F26F-4B8E-A624-C0B665CEE8A8}" type="presOf" srcId="{0E260A59-1379-4ACA-8DFD-36B0007534A2}" destId="{E619BD21-F6E1-45B6-B11D-898B87AD3F68}" srcOrd="1" destOrd="0" presId="urn:microsoft.com/office/officeart/2005/8/layout/matrix1"/>
    <dgm:cxn modelId="{F4E3F5D3-13F9-474F-866D-74CE11E1D1DE}" srcId="{7E2ED0E4-8DED-451D-A88D-F860E59C4B00}" destId="{6737D184-6F4B-45AA-B8DB-4C2330836458}" srcOrd="2" destOrd="0" parTransId="{7C9391A3-BC51-4728-8B19-27CFC047E6DB}" sibTransId="{93821EE3-C935-466C-8B53-25A086CCAA18}"/>
    <dgm:cxn modelId="{79FE77E9-3DC9-4009-A330-ECE48820BB73}" type="presOf" srcId="{7E2ED0E4-8DED-451D-A88D-F860E59C4B00}" destId="{D363A1B3-B8BE-49C3-BAB0-B6F03A53309A}" srcOrd="0" destOrd="0" presId="urn:microsoft.com/office/officeart/2005/8/layout/matrix1"/>
    <dgm:cxn modelId="{4A0092F3-AF54-4824-99F3-9AB0371D0CCA}" type="presOf" srcId="{6737D184-6F4B-45AA-B8DB-4C2330836458}" destId="{00000E8E-2749-42E1-9EEE-558CFC547C8D}" srcOrd="1" destOrd="0" presId="urn:microsoft.com/office/officeart/2005/8/layout/matrix1"/>
    <dgm:cxn modelId="{95A941F9-9831-47F6-A696-579874BCBBC2}" type="presOf" srcId="{0E260A59-1379-4ACA-8DFD-36B0007534A2}" destId="{6B6736FE-2330-42FC-ADFD-80C48098A829}" srcOrd="0" destOrd="0" presId="urn:microsoft.com/office/officeart/2005/8/layout/matrix1"/>
    <dgm:cxn modelId="{BB892989-D860-43D7-9677-4AA5F865C36D}" type="presParOf" srcId="{B7FC9310-E094-4840-BBD1-A92C2D60E09B}" destId="{31FB7CFF-CD9D-4085-849F-5C016E0D9570}" srcOrd="0" destOrd="0" presId="urn:microsoft.com/office/officeart/2005/8/layout/matrix1"/>
    <dgm:cxn modelId="{0CDC8F96-B38E-4695-B407-52DE6601E0F7}" type="presParOf" srcId="{31FB7CFF-CD9D-4085-849F-5C016E0D9570}" destId="{6B6736FE-2330-42FC-ADFD-80C48098A829}" srcOrd="0" destOrd="0" presId="urn:microsoft.com/office/officeart/2005/8/layout/matrix1"/>
    <dgm:cxn modelId="{C6E8BAA0-2931-4109-8C05-B9E8EED7389A}" type="presParOf" srcId="{31FB7CFF-CD9D-4085-849F-5C016E0D9570}" destId="{E619BD21-F6E1-45B6-B11D-898B87AD3F68}" srcOrd="1" destOrd="0" presId="urn:microsoft.com/office/officeart/2005/8/layout/matrix1"/>
    <dgm:cxn modelId="{880FEB28-613C-4557-926F-E0359EF41A73}" type="presParOf" srcId="{31FB7CFF-CD9D-4085-849F-5C016E0D9570}" destId="{9ED7C165-4B20-47EA-A5CE-8750A7D60A2D}" srcOrd="2" destOrd="0" presId="urn:microsoft.com/office/officeart/2005/8/layout/matrix1"/>
    <dgm:cxn modelId="{5024906A-23A8-4F18-BE7D-6D4F23CDFC39}" type="presParOf" srcId="{31FB7CFF-CD9D-4085-849F-5C016E0D9570}" destId="{F3841A6B-EF10-42F0-A30B-2CC9AB1A3EAD}" srcOrd="3" destOrd="0" presId="urn:microsoft.com/office/officeart/2005/8/layout/matrix1"/>
    <dgm:cxn modelId="{9DA5B36D-5215-495E-AB2E-9BF3E05FECCC}" type="presParOf" srcId="{31FB7CFF-CD9D-4085-849F-5C016E0D9570}" destId="{20E50E7D-5E63-4ACC-8A53-8A52030832D0}" srcOrd="4" destOrd="0" presId="urn:microsoft.com/office/officeart/2005/8/layout/matrix1"/>
    <dgm:cxn modelId="{5E4AD574-1203-4BFC-AEB6-4AFB4DA80E33}" type="presParOf" srcId="{31FB7CFF-CD9D-4085-849F-5C016E0D9570}" destId="{00000E8E-2749-42E1-9EEE-558CFC547C8D}" srcOrd="5" destOrd="0" presId="urn:microsoft.com/office/officeart/2005/8/layout/matrix1"/>
    <dgm:cxn modelId="{D2B56BD6-0245-4197-A2F7-19EDF37FEB22}" type="presParOf" srcId="{31FB7CFF-CD9D-4085-849F-5C016E0D9570}" destId="{36E2BA55-52FC-41F7-9FF1-93423D269F3B}" srcOrd="6" destOrd="0" presId="urn:microsoft.com/office/officeart/2005/8/layout/matrix1"/>
    <dgm:cxn modelId="{C3F80F41-7979-4F4A-A496-A7962A0DE2F9}" type="presParOf" srcId="{31FB7CFF-CD9D-4085-849F-5C016E0D9570}" destId="{2B2FDE33-DE5D-4AB0-ABDF-E9EFEF9A591C}" srcOrd="7" destOrd="0" presId="urn:microsoft.com/office/officeart/2005/8/layout/matrix1"/>
    <dgm:cxn modelId="{B53E1BE7-BB1B-4043-8132-2C33F4B5B54D}" type="presParOf" srcId="{B7FC9310-E094-4840-BBD1-A92C2D60E09B}" destId="{D363A1B3-B8BE-49C3-BAB0-B6F03A53309A}" srcOrd="1" destOrd="0" presId="urn:microsoft.com/office/officeart/2005/8/layout/matrix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CD00AACB-28E7-4CCB-9FDC-61771F492415}" type="doc">
      <dgm:prSet loTypeId="urn:microsoft.com/office/officeart/2005/8/layout/matrix1" loCatId="matrix" qsTypeId="urn:microsoft.com/office/officeart/2005/8/quickstyle/simple1" qsCatId="simple" csTypeId="urn:microsoft.com/office/officeart/2005/8/colors/accent1_2" csCatId="accent1" phldr="1"/>
      <dgm:spPr/>
      <dgm:t>
        <a:bodyPr/>
        <a:lstStyle/>
        <a:p>
          <a:endParaRPr lang="en-MY"/>
        </a:p>
      </dgm:t>
    </dgm:pt>
    <dgm:pt modelId="{D63C920F-6000-43A0-B190-40DD9A52A058}">
      <dgm:prSet phldrT="[Text]" custT="1"/>
      <dgm:spPr>
        <a:xfrm>
          <a:off x="1920240" y="1478942"/>
          <a:ext cx="1645920" cy="985961"/>
        </a:xfrm>
        <a:solidFill>
          <a:srgbClr val="4F81BD">
            <a:tint val="60000"/>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MY" sz="1100" b="1">
              <a:solidFill>
                <a:sysClr val="windowText" lastClr="000000"/>
              </a:solidFill>
              <a:latin typeface="Times New Roman" panose="02020603050405020304" pitchFamily="18" charset="0"/>
              <a:ea typeface="+mn-ea"/>
              <a:cs typeface="Times New Roman" panose="02020603050405020304" pitchFamily="18" charset="0"/>
            </a:rPr>
            <a:t>COURT-ANNEXED</a:t>
          </a:r>
          <a:r>
            <a:rPr lang="en-MY" sz="1100" b="1" baseline="0">
              <a:solidFill>
                <a:sysClr val="windowText" lastClr="000000"/>
              </a:solidFill>
              <a:latin typeface="Times New Roman" panose="02020603050405020304" pitchFamily="18" charset="0"/>
              <a:ea typeface="+mn-ea"/>
              <a:cs typeface="Times New Roman" panose="02020603050405020304" pitchFamily="18" charset="0"/>
            </a:rPr>
            <a:t> MEDIATION</a:t>
          </a:r>
          <a:endParaRPr lang="en-MY" sz="1100" b="1">
            <a:solidFill>
              <a:sysClr val="windowText" lastClr="000000"/>
            </a:solidFill>
            <a:latin typeface="Times New Roman" panose="02020603050405020304" pitchFamily="18" charset="0"/>
            <a:ea typeface="+mn-ea"/>
            <a:cs typeface="Times New Roman" panose="02020603050405020304" pitchFamily="18" charset="0"/>
          </a:endParaRPr>
        </a:p>
      </dgm:t>
    </dgm:pt>
    <dgm:pt modelId="{A1E0A59D-5A27-4564-AD8B-33783C597BB1}" type="parTrans" cxnId="{751F5791-DD8E-459D-B75B-82AAAB0917A0}">
      <dgm:prSet/>
      <dgm:spPr/>
      <dgm:t>
        <a:bodyPr/>
        <a:lstStyle/>
        <a:p>
          <a:endParaRPr lang="en-MY"/>
        </a:p>
      </dgm:t>
    </dgm:pt>
    <dgm:pt modelId="{DF20CE98-9D38-4864-B4AA-963E6B0010BB}" type="sibTrans" cxnId="{751F5791-DD8E-459D-B75B-82AAAB0917A0}">
      <dgm:prSet/>
      <dgm:spPr/>
      <dgm:t>
        <a:bodyPr/>
        <a:lstStyle/>
        <a:p>
          <a:endParaRPr lang="en-MY"/>
        </a:p>
      </dgm:t>
    </dgm:pt>
    <dgm:pt modelId="{2059B5F8-0773-42C9-BCF2-822223A9C25B}">
      <dgm:prSet phldrT="[Text]" custT="1"/>
      <dgm:spPr>
        <a:xfrm rot="16200000">
          <a:off x="385638" y="-385638"/>
          <a:ext cx="1971923" cy="274320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MY" sz="1200" b="1">
              <a:solidFill>
                <a:sysClr val="windowText" lastClr="000000"/>
              </a:solidFill>
              <a:latin typeface="Times New Roman" panose="02020603050405020304" pitchFamily="18" charset="0"/>
              <a:ea typeface="+mn-ea"/>
              <a:cs typeface="Times New Roman" panose="02020603050405020304" pitchFamily="18" charset="0"/>
            </a:rPr>
            <a:t>STRENGTHS</a:t>
          </a:r>
        </a:p>
        <a:p>
          <a:r>
            <a:rPr lang="en-MY" sz="1200" b="1">
              <a:solidFill>
                <a:sysClr val="window" lastClr="FFFFFF"/>
              </a:solidFill>
              <a:latin typeface="Times New Roman" panose="02020603050405020304" pitchFamily="18" charset="0"/>
              <a:ea typeface="+mn-ea"/>
              <a:cs typeface="Times New Roman" panose="02020603050405020304" pitchFamily="18" charset="0"/>
            </a:rPr>
            <a:t>Settlement is Recorded as Consent Judgement</a:t>
          </a:r>
        </a:p>
        <a:p>
          <a:r>
            <a:rPr lang="en-MY" sz="1200" b="1">
              <a:solidFill>
                <a:sysClr val="window" lastClr="FFFFFF"/>
              </a:solidFill>
              <a:latin typeface="Times New Roman" panose="02020603050405020304" pitchFamily="18" charset="0"/>
              <a:ea typeface="+mn-ea"/>
              <a:cs typeface="Times New Roman" panose="02020603050405020304" pitchFamily="18" charset="0"/>
            </a:rPr>
            <a:t>Result-oriented Process</a:t>
          </a:r>
        </a:p>
        <a:p>
          <a:r>
            <a:rPr lang="en-MY" sz="1200" b="1">
              <a:solidFill>
                <a:sysClr val="window" lastClr="FFFFFF"/>
              </a:solidFill>
              <a:latin typeface="Times New Roman" panose="02020603050405020304" pitchFamily="18" charset="0"/>
              <a:ea typeface="+mn-ea"/>
              <a:cs typeface="Times New Roman" panose="02020603050405020304" pitchFamily="18" charset="0"/>
            </a:rPr>
            <a:t>All Issues can be Settled</a:t>
          </a:r>
        </a:p>
        <a:p>
          <a:r>
            <a:rPr lang="en-MY" sz="1200" b="1">
              <a:solidFill>
                <a:sysClr val="window" lastClr="FFFFFF"/>
              </a:solidFill>
              <a:latin typeface="Times New Roman" panose="02020603050405020304" pitchFamily="18" charset="0"/>
              <a:ea typeface="+mn-ea"/>
              <a:cs typeface="Times New Roman" panose="02020603050405020304" pitchFamily="18" charset="0"/>
            </a:rPr>
            <a:t>Cost is Reduced</a:t>
          </a:r>
        </a:p>
      </dgm:t>
    </dgm:pt>
    <dgm:pt modelId="{E12B7077-0D49-4039-8DB6-4A3CB48C1089}" type="parTrans" cxnId="{6A8D96ED-2221-49D7-A1B8-507176CD783F}">
      <dgm:prSet/>
      <dgm:spPr/>
      <dgm:t>
        <a:bodyPr/>
        <a:lstStyle/>
        <a:p>
          <a:endParaRPr lang="en-MY"/>
        </a:p>
      </dgm:t>
    </dgm:pt>
    <dgm:pt modelId="{51641756-CD45-4023-B966-871C783471B1}" type="sibTrans" cxnId="{6A8D96ED-2221-49D7-A1B8-507176CD783F}">
      <dgm:prSet/>
      <dgm:spPr/>
      <dgm:t>
        <a:bodyPr/>
        <a:lstStyle/>
        <a:p>
          <a:endParaRPr lang="en-MY"/>
        </a:p>
      </dgm:t>
    </dgm:pt>
    <dgm:pt modelId="{6AE40D92-2660-42F2-8B04-C9BC8C6E7354}">
      <dgm:prSet phldrT="[Text]" custT="1"/>
      <dgm:spPr>
        <a:xfrm>
          <a:off x="2743200" y="0"/>
          <a:ext cx="2743200" cy="197192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MY" sz="1200" b="1">
              <a:solidFill>
                <a:sysClr val="windowText" lastClr="000000"/>
              </a:solidFill>
              <a:latin typeface="Times New Roman" panose="02020603050405020304" pitchFamily="18" charset="0"/>
              <a:ea typeface="+mn-ea"/>
              <a:cs typeface="Times New Roman" panose="02020603050405020304" pitchFamily="18" charset="0"/>
            </a:rPr>
            <a:t>WEAKNESSES</a:t>
          </a:r>
        </a:p>
        <a:p>
          <a:r>
            <a:rPr lang="en-MY" sz="1200" b="1">
              <a:solidFill>
                <a:sysClr val="window" lastClr="FFFFFF"/>
              </a:solidFill>
              <a:latin typeface="Times New Roman" panose="02020603050405020304" pitchFamily="18" charset="0"/>
              <a:ea typeface="+mn-ea"/>
              <a:cs typeface="Times New Roman" panose="02020603050405020304" pitchFamily="18" charset="0"/>
            </a:rPr>
            <a:t>Judges are the Mediators</a:t>
          </a:r>
        </a:p>
        <a:p>
          <a:r>
            <a:rPr lang="en-MY" sz="1200" b="1">
              <a:solidFill>
                <a:sysClr val="window" lastClr="FFFFFF"/>
              </a:solidFill>
              <a:latin typeface="Times New Roman" panose="02020603050405020304" pitchFamily="18" charset="0"/>
              <a:ea typeface="+mn-ea"/>
              <a:cs typeface="Times New Roman" panose="02020603050405020304" pitchFamily="18" charset="0"/>
            </a:rPr>
            <a:t>Parties can Frustrate the Process</a:t>
          </a:r>
        </a:p>
      </dgm:t>
    </dgm:pt>
    <dgm:pt modelId="{55033E78-0742-4CF5-9EEE-8E41613D793C}" type="parTrans" cxnId="{A123E528-3D9C-4319-B9DF-6AFCD91D74E3}">
      <dgm:prSet/>
      <dgm:spPr/>
      <dgm:t>
        <a:bodyPr/>
        <a:lstStyle/>
        <a:p>
          <a:endParaRPr lang="en-MY"/>
        </a:p>
      </dgm:t>
    </dgm:pt>
    <dgm:pt modelId="{7151BC5D-2B41-4F47-8078-148C87CCB564}" type="sibTrans" cxnId="{A123E528-3D9C-4319-B9DF-6AFCD91D74E3}">
      <dgm:prSet/>
      <dgm:spPr/>
      <dgm:t>
        <a:bodyPr/>
        <a:lstStyle/>
        <a:p>
          <a:endParaRPr lang="en-MY"/>
        </a:p>
      </dgm:t>
    </dgm:pt>
    <dgm:pt modelId="{DE94E035-BFAE-4E0E-9804-64544D3B080B}">
      <dgm:prSet phldrT="[Text]" custT="1"/>
      <dgm:spPr>
        <a:xfrm rot="10800000">
          <a:off x="0" y="1971923"/>
          <a:ext cx="2743200" cy="197192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MY" sz="1200" b="1">
              <a:solidFill>
                <a:sysClr val="windowText" lastClr="000000"/>
              </a:solidFill>
              <a:latin typeface="Times New Roman" panose="02020603050405020304" pitchFamily="18" charset="0"/>
              <a:ea typeface="+mn-ea"/>
              <a:cs typeface="Times New Roman" panose="02020603050405020304" pitchFamily="18" charset="0"/>
            </a:rPr>
            <a:t>OPPORTUNITIES</a:t>
          </a:r>
        </a:p>
        <a:p>
          <a:r>
            <a:rPr lang="en-MY" sz="1200" b="1">
              <a:solidFill>
                <a:sysClr val="window" lastClr="FFFFFF"/>
              </a:solidFill>
              <a:latin typeface="Times New Roman" panose="02020603050405020304" pitchFamily="18" charset="0"/>
              <a:ea typeface="+mn-ea"/>
              <a:cs typeface="Times New Roman" panose="02020603050405020304" pitchFamily="18" charset="0"/>
            </a:rPr>
            <a:t>Solves the issue of Backlog of cases</a:t>
          </a:r>
        </a:p>
        <a:p>
          <a:r>
            <a:rPr lang="en-MY" sz="1200" b="1">
              <a:solidFill>
                <a:sysClr val="window" lastClr="FFFFFF"/>
              </a:solidFill>
              <a:latin typeface="Times New Roman" panose="02020603050405020304" pitchFamily="18" charset="0"/>
              <a:ea typeface="+mn-ea"/>
              <a:cs typeface="Times New Roman" panose="02020603050405020304" pitchFamily="18" charset="0"/>
            </a:rPr>
            <a:t>Speedy Trial of Disputes</a:t>
          </a:r>
        </a:p>
        <a:p>
          <a:r>
            <a:rPr lang="en-MY" sz="1200" b="1">
              <a:solidFill>
                <a:sysClr val="window" lastClr="FFFFFF"/>
              </a:solidFill>
              <a:latin typeface="Times New Roman" panose="02020603050405020304" pitchFamily="18" charset="0"/>
              <a:ea typeface="+mn-ea"/>
              <a:cs typeface="Times New Roman" panose="02020603050405020304" pitchFamily="18" charset="0"/>
            </a:rPr>
            <a:t>Preserves the On-going Relationship between the Parties</a:t>
          </a:r>
        </a:p>
        <a:p>
          <a:r>
            <a:rPr lang="en-MY" sz="1200" b="1">
              <a:solidFill>
                <a:sysClr val="window" lastClr="FFFFFF"/>
              </a:solidFill>
              <a:latin typeface="Times New Roman" panose="02020603050405020304" pitchFamily="18" charset="0"/>
              <a:ea typeface="+mn-ea"/>
              <a:cs typeface="Times New Roman" panose="02020603050405020304" pitchFamily="18" charset="0"/>
            </a:rPr>
            <a:t>Parties become less litigous</a:t>
          </a:r>
        </a:p>
      </dgm:t>
    </dgm:pt>
    <dgm:pt modelId="{D941E55A-3D19-4FE5-9FD5-7F56C27D7894}" type="parTrans" cxnId="{3F9D1D53-0AE9-49F6-BA54-E05000F1EBE3}">
      <dgm:prSet/>
      <dgm:spPr/>
      <dgm:t>
        <a:bodyPr/>
        <a:lstStyle/>
        <a:p>
          <a:endParaRPr lang="en-MY"/>
        </a:p>
      </dgm:t>
    </dgm:pt>
    <dgm:pt modelId="{39CD976E-691D-4D6B-8654-32810BC3B8A5}" type="sibTrans" cxnId="{3F9D1D53-0AE9-49F6-BA54-E05000F1EBE3}">
      <dgm:prSet/>
      <dgm:spPr/>
      <dgm:t>
        <a:bodyPr/>
        <a:lstStyle/>
        <a:p>
          <a:endParaRPr lang="en-MY"/>
        </a:p>
      </dgm:t>
    </dgm:pt>
    <dgm:pt modelId="{17970689-DD4F-418F-9FED-E83D712D3D64}">
      <dgm:prSet phldrT="[Text]" custT="1"/>
      <dgm:spPr>
        <a:xfrm rot="5400000">
          <a:off x="3128838" y="1586285"/>
          <a:ext cx="1971923" cy="274320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MY" sz="1200" b="1">
              <a:solidFill>
                <a:sysClr val="windowText" lastClr="000000"/>
              </a:solidFill>
              <a:latin typeface="Times New Roman" panose="02020603050405020304" pitchFamily="18" charset="0"/>
              <a:ea typeface="+mn-ea"/>
              <a:cs typeface="Times New Roman" panose="02020603050405020304" pitchFamily="18" charset="0"/>
            </a:rPr>
            <a:t>THREATS</a:t>
          </a:r>
        </a:p>
        <a:p>
          <a:r>
            <a:rPr lang="en-MY" sz="1200" b="1">
              <a:solidFill>
                <a:sysClr val="window" lastClr="FFFFFF"/>
              </a:solidFill>
              <a:latin typeface="Times New Roman" panose="02020603050405020304" pitchFamily="18" charset="0"/>
              <a:ea typeface="+mn-ea"/>
              <a:cs typeface="Times New Roman" panose="02020603050405020304" pitchFamily="18" charset="0"/>
            </a:rPr>
            <a:t>Fear of Loss of Income by Lawyers</a:t>
          </a:r>
        </a:p>
        <a:p>
          <a:r>
            <a:rPr lang="en-MY" sz="1200" b="1">
              <a:solidFill>
                <a:sysClr val="window" lastClr="FFFFFF"/>
              </a:solidFill>
              <a:latin typeface="Times New Roman" panose="02020603050405020304" pitchFamily="18" charset="0"/>
              <a:ea typeface="+mn-ea"/>
              <a:cs typeface="Times New Roman" panose="02020603050405020304" pitchFamily="18" charset="0"/>
            </a:rPr>
            <a:t>Parties may not agree to Mediate</a:t>
          </a:r>
        </a:p>
        <a:p>
          <a:r>
            <a:rPr lang="en-MY" sz="1200" b="1">
              <a:solidFill>
                <a:sysClr val="window" lastClr="FFFFFF"/>
              </a:solidFill>
              <a:latin typeface="Times New Roman" panose="02020603050405020304" pitchFamily="18" charset="0"/>
              <a:ea typeface="+mn-ea"/>
              <a:cs typeface="Times New Roman" panose="02020603050405020304" pitchFamily="18" charset="0"/>
            </a:rPr>
            <a:t>May amount to Abdiction of the Function of the Court</a:t>
          </a:r>
        </a:p>
        <a:p>
          <a:r>
            <a:rPr lang="en-MY" sz="1200" b="1">
              <a:solidFill>
                <a:sysClr val="window" lastClr="FFFFFF"/>
              </a:solidFill>
              <a:latin typeface="Times New Roman" panose="02020603050405020304" pitchFamily="18" charset="0"/>
              <a:ea typeface="+mn-ea"/>
              <a:cs typeface="Times New Roman" panose="02020603050405020304" pitchFamily="18" charset="0"/>
            </a:rPr>
            <a:t>Judge is the Mediator</a:t>
          </a:r>
        </a:p>
      </dgm:t>
    </dgm:pt>
    <dgm:pt modelId="{7A24AAFA-4BC2-463B-B583-5BFA731255F6}" type="parTrans" cxnId="{E24A717E-393A-4BCA-97C9-78BDBBE56EC3}">
      <dgm:prSet/>
      <dgm:spPr/>
      <dgm:t>
        <a:bodyPr/>
        <a:lstStyle/>
        <a:p>
          <a:endParaRPr lang="en-MY"/>
        </a:p>
      </dgm:t>
    </dgm:pt>
    <dgm:pt modelId="{578F3CE0-8017-43B0-8C83-8AD8EF8554CC}" type="sibTrans" cxnId="{E24A717E-393A-4BCA-97C9-78BDBBE56EC3}">
      <dgm:prSet/>
      <dgm:spPr/>
      <dgm:t>
        <a:bodyPr/>
        <a:lstStyle/>
        <a:p>
          <a:endParaRPr lang="en-MY"/>
        </a:p>
      </dgm:t>
    </dgm:pt>
    <dgm:pt modelId="{E9482D27-88B4-4479-B405-461853B3D25A}" type="pres">
      <dgm:prSet presAssocID="{CD00AACB-28E7-4CCB-9FDC-61771F492415}" presName="diagram" presStyleCnt="0">
        <dgm:presLayoutVars>
          <dgm:chMax val="1"/>
          <dgm:dir/>
          <dgm:animLvl val="ctr"/>
          <dgm:resizeHandles val="exact"/>
        </dgm:presLayoutVars>
      </dgm:prSet>
      <dgm:spPr/>
    </dgm:pt>
    <dgm:pt modelId="{4B3C4870-A2B2-4EBE-A8E1-719671E1CF03}" type="pres">
      <dgm:prSet presAssocID="{CD00AACB-28E7-4CCB-9FDC-61771F492415}" presName="matrix" presStyleCnt="0"/>
      <dgm:spPr/>
    </dgm:pt>
    <dgm:pt modelId="{BBAFE822-2659-4AAB-AC2E-FDBE0F72CD95}" type="pres">
      <dgm:prSet presAssocID="{CD00AACB-28E7-4CCB-9FDC-61771F492415}" presName="tile1" presStyleLbl="node1" presStyleIdx="0" presStyleCnt="4"/>
      <dgm:spPr>
        <a:prstGeom prst="round1Rect">
          <a:avLst/>
        </a:prstGeom>
      </dgm:spPr>
    </dgm:pt>
    <dgm:pt modelId="{6872EC0B-F083-4D77-9304-71A7D76FBD61}" type="pres">
      <dgm:prSet presAssocID="{CD00AACB-28E7-4CCB-9FDC-61771F492415}" presName="tile1text" presStyleLbl="node1" presStyleIdx="0" presStyleCnt="4">
        <dgm:presLayoutVars>
          <dgm:chMax val="0"/>
          <dgm:chPref val="0"/>
          <dgm:bulletEnabled val="1"/>
        </dgm:presLayoutVars>
      </dgm:prSet>
      <dgm:spPr/>
    </dgm:pt>
    <dgm:pt modelId="{B6F3E4BA-81E8-4074-8BD7-C3CA8148593E}" type="pres">
      <dgm:prSet presAssocID="{CD00AACB-28E7-4CCB-9FDC-61771F492415}" presName="tile2" presStyleLbl="node1" presStyleIdx="1" presStyleCnt="4"/>
      <dgm:spPr>
        <a:prstGeom prst="round1Rect">
          <a:avLst/>
        </a:prstGeom>
      </dgm:spPr>
    </dgm:pt>
    <dgm:pt modelId="{84F83935-7C34-43FD-9280-507722CED2E4}" type="pres">
      <dgm:prSet presAssocID="{CD00AACB-28E7-4CCB-9FDC-61771F492415}" presName="tile2text" presStyleLbl="node1" presStyleIdx="1" presStyleCnt="4">
        <dgm:presLayoutVars>
          <dgm:chMax val="0"/>
          <dgm:chPref val="0"/>
          <dgm:bulletEnabled val="1"/>
        </dgm:presLayoutVars>
      </dgm:prSet>
      <dgm:spPr/>
    </dgm:pt>
    <dgm:pt modelId="{8B8A81EE-F04F-42EB-B6CD-FFB78E4DBE75}" type="pres">
      <dgm:prSet presAssocID="{CD00AACB-28E7-4CCB-9FDC-61771F492415}" presName="tile3" presStyleLbl="node1" presStyleIdx="2" presStyleCnt="4"/>
      <dgm:spPr>
        <a:prstGeom prst="round1Rect">
          <a:avLst/>
        </a:prstGeom>
      </dgm:spPr>
    </dgm:pt>
    <dgm:pt modelId="{E777E9A8-0AF0-4C72-B9F3-A84F1DDEFB64}" type="pres">
      <dgm:prSet presAssocID="{CD00AACB-28E7-4CCB-9FDC-61771F492415}" presName="tile3text" presStyleLbl="node1" presStyleIdx="2" presStyleCnt="4">
        <dgm:presLayoutVars>
          <dgm:chMax val="0"/>
          <dgm:chPref val="0"/>
          <dgm:bulletEnabled val="1"/>
        </dgm:presLayoutVars>
      </dgm:prSet>
      <dgm:spPr/>
    </dgm:pt>
    <dgm:pt modelId="{DA822082-1F42-4169-8481-2DDE1D832EC3}" type="pres">
      <dgm:prSet presAssocID="{CD00AACB-28E7-4CCB-9FDC-61771F492415}" presName="tile4" presStyleLbl="node1" presStyleIdx="3" presStyleCnt="4"/>
      <dgm:spPr>
        <a:prstGeom prst="round1Rect">
          <a:avLst/>
        </a:prstGeom>
      </dgm:spPr>
    </dgm:pt>
    <dgm:pt modelId="{812CEE19-6C98-42EC-AAB4-70EF5A7000DC}" type="pres">
      <dgm:prSet presAssocID="{CD00AACB-28E7-4CCB-9FDC-61771F492415}" presName="tile4text" presStyleLbl="node1" presStyleIdx="3" presStyleCnt="4">
        <dgm:presLayoutVars>
          <dgm:chMax val="0"/>
          <dgm:chPref val="0"/>
          <dgm:bulletEnabled val="1"/>
        </dgm:presLayoutVars>
      </dgm:prSet>
      <dgm:spPr/>
    </dgm:pt>
    <dgm:pt modelId="{0AABBCB7-2305-462F-894D-47B1873DB033}" type="pres">
      <dgm:prSet presAssocID="{CD00AACB-28E7-4CCB-9FDC-61771F492415}" presName="centerTile" presStyleLbl="fgShp" presStyleIdx="0" presStyleCnt="1">
        <dgm:presLayoutVars>
          <dgm:chMax val="0"/>
          <dgm:chPref val="0"/>
        </dgm:presLayoutVars>
      </dgm:prSet>
      <dgm:spPr>
        <a:prstGeom prst="roundRect">
          <a:avLst/>
        </a:prstGeom>
      </dgm:spPr>
    </dgm:pt>
  </dgm:ptLst>
  <dgm:cxnLst>
    <dgm:cxn modelId="{01910205-681D-4E82-A494-7EE5B26C8690}" type="presOf" srcId="{DE94E035-BFAE-4E0E-9804-64544D3B080B}" destId="{8B8A81EE-F04F-42EB-B6CD-FFB78E4DBE75}" srcOrd="0" destOrd="0" presId="urn:microsoft.com/office/officeart/2005/8/layout/matrix1"/>
    <dgm:cxn modelId="{644B3A16-D2D3-4D51-95EB-0DB1CC11AB00}" type="presOf" srcId="{DE94E035-BFAE-4E0E-9804-64544D3B080B}" destId="{E777E9A8-0AF0-4C72-B9F3-A84F1DDEFB64}" srcOrd="1" destOrd="0" presId="urn:microsoft.com/office/officeart/2005/8/layout/matrix1"/>
    <dgm:cxn modelId="{489CE726-6C09-4335-996A-59169A9B7CA4}" type="presOf" srcId="{6AE40D92-2660-42F2-8B04-C9BC8C6E7354}" destId="{84F83935-7C34-43FD-9280-507722CED2E4}" srcOrd="1" destOrd="0" presId="urn:microsoft.com/office/officeart/2005/8/layout/matrix1"/>
    <dgm:cxn modelId="{A123E528-3D9C-4319-B9DF-6AFCD91D74E3}" srcId="{D63C920F-6000-43A0-B190-40DD9A52A058}" destId="{6AE40D92-2660-42F2-8B04-C9BC8C6E7354}" srcOrd="1" destOrd="0" parTransId="{55033E78-0742-4CF5-9EEE-8E41613D793C}" sibTransId="{7151BC5D-2B41-4F47-8078-148C87CCB564}"/>
    <dgm:cxn modelId="{BD33D350-30CF-46D5-A3BF-20ED6C4974A5}" type="presOf" srcId="{CD00AACB-28E7-4CCB-9FDC-61771F492415}" destId="{E9482D27-88B4-4479-B405-461853B3D25A}" srcOrd="0" destOrd="0" presId="urn:microsoft.com/office/officeart/2005/8/layout/matrix1"/>
    <dgm:cxn modelId="{3F9D1D53-0AE9-49F6-BA54-E05000F1EBE3}" srcId="{D63C920F-6000-43A0-B190-40DD9A52A058}" destId="{DE94E035-BFAE-4E0E-9804-64544D3B080B}" srcOrd="2" destOrd="0" parTransId="{D941E55A-3D19-4FE5-9FD5-7F56C27D7894}" sibTransId="{39CD976E-691D-4D6B-8654-32810BC3B8A5}"/>
    <dgm:cxn modelId="{E0FF3D55-A1B1-4EBA-B867-E4757418C5FD}" type="presOf" srcId="{D63C920F-6000-43A0-B190-40DD9A52A058}" destId="{0AABBCB7-2305-462F-894D-47B1873DB033}" srcOrd="0" destOrd="0" presId="urn:microsoft.com/office/officeart/2005/8/layout/matrix1"/>
    <dgm:cxn modelId="{B195145A-D328-4B04-A7C1-32787B753A16}" type="presOf" srcId="{17970689-DD4F-418F-9FED-E83D712D3D64}" destId="{812CEE19-6C98-42EC-AAB4-70EF5A7000DC}" srcOrd="1" destOrd="0" presId="urn:microsoft.com/office/officeart/2005/8/layout/matrix1"/>
    <dgm:cxn modelId="{E24A717E-393A-4BCA-97C9-78BDBBE56EC3}" srcId="{D63C920F-6000-43A0-B190-40DD9A52A058}" destId="{17970689-DD4F-418F-9FED-E83D712D3D64}" srcOrd="3" destOrd="0" parTransId="{7A24AAFA-4BC2-463B-B583-5BFA731255F6}" sibTransId="{578F3CE0-8017-43B0-8C83-8AD8EF8554CC}"/>
    <dgm:cxn modelId="{D56E698E-D574-41B8-95C9-DBE9B38A6CE8}" type="presOf" srcId="{6AE40D92-2660-42F2-8B04-C9BC8C6E7354}" destId="{B6F3E4BA-81E8-4074-8BD7-C3CA8148593E}" srcOrd="0" destOrd="0" presId="urn:microsoft.com/office/officeart/2005/8/layout/matrix1"/>
    <dgm:cxn modelId="{751F5791-DD8E-459D-B75B-82AAAB0917A0}" srcId="{CD00AACB-28E7-4CCB-9FDC-61771F492415}" destId="{D63C920F-6000-43A0-B190-40DD9A52A058}" srcOrd="0" destOrd="0" parTransId="{A1E0A59D-5A27-4564-AD8B-33783C597BB1}" sibTransId="{DF20CE98-9D38-4864-B4AA-963E6B0010BB}"/>
    <dgm:cxn modelId="{765DC595-0B79-4D19-BDA5-32A8DC48F051}" type="presOf" srcId="{2059B5F8-0773-42C9-BCF2-822223A9C25B}" destId="{BBAFE822-2659-4AAB-AC2E-FDBE0F72CD95}" srcOrd="0" destOrd="0" presId="urn:microsoft.com/office/officeart/2005/8/layout/matrix1"/>
    <dgm:cxn modelId="{1A3112DC-AB0B-40B8-8F1C-8BCD7B04DE69}" type="presOf" srcId="{2059B5F8-0773-42C9-BCF2-822223A9C25B}" destId="{6872EC0B-F083-4D77-9304-71A7D76FBD61}" srcOrd="1" destOrd="0" presId="urn:microsoft.com/office/officeart/2005/8/layout/matrix1"/>
    <dgm:cxn modelId="{8C20C8DC-3A5C-4E68-B183-A2DA431FBABE}" type="presOf" srcId="{17970689-DD4F-418F-9FED-E83D712D3D64}" destId="{DA822082-1F42-4169-8481-2DDE1D832EC3}" srcOrd="0" destOrd="0" presId="urn:microsoft.com/office/officeart/2005/8/layout/matrix1"/>
    <dgm:cxn modelId="{6A8D96ED-2221-49D7-A1B8-507176CD783F}" srcId="{D63C920F-6000-43A0-B190-40DD9A52A058}" destId="{2059B5F8-0773-42C9-BCF2-822223A9C25B}" srcOrd="0" destOrd="0" parTransId="{E12B7077-0D49-4039-8DB6-4A3CB48C1089}" sibTransId="{51641756-CD45-4023-B966-871C783471B1}"/>
    <dgm:cxn modelId="{E7F7F8A1-AD13-4514-8100-237D9DD73EC3}" type="presParOf" srcId="{E9482D27-88B4-4479-B405-461853B3D25A}" destId="{4B3C4870-A2B2-4EBE-A8E1-719671E1CF03}" srcOrd="0" destOrd="0" presId="urn:microsoft.com/office/officeart/2005/8/layout/matrix1"/>
    <dgm:cxn modelId="{7B8DFDBA-087F-4BDC-965D-D20F7FE78B10}" type="presParOf" srcId="{4B3C4870-A2B2-4EBE-A8E1-719671E1CF03}" destId="{BBAFE822-2659-4AAB-AC2E-FDBE0F72CD95}" srcOrd="0" destOrd="0" presId="urn:microsoft.com/office/officeart/2005/8/layout/matrix1"/>
    <dgm:cxn modelId="{9310EDF3-709F-457A-9702-D4A69B64E91E}" type="presParOf" srcId="{4B3C4870-A2B2-4EBE-A8E1-719671E1CF03}" destId="{6872EC0B-F083-4D77-9304-71A7D76FBD61}" srcOrd="1" destOrd="0" presId="urn:microsoft.com/office/officeart/2005/8/layout/matrix1"/>
    <dgm:cxn modelId="{B8082368-7B38-4268-8ECB-E202FB56C812}" type="presParOf" srcId="{4B3C4870-A2B2-4EBE-A8E1-719671E1CF03}" destId="{B6F3E4BA-81E8-4074-8BD7-C3CA8148593E}" srcOrd="2" destOrd="0" presId="urn:microsoft.com/office/officeart/2005/8/layout/matrix1"/>
    <dgm:cxn modelId="{DDBD1EB7-BAF0-4A49-88E3-5C73FB07CCE0}" type="presParOf" srcId="{4B3C4870-A2B2-4EBE-A8E1-719671E1CF03}" destId="{84F83935-7C34-43FD-9280-507722CED2E4}" srcOrd="3" destOrd="0" presId="urn:microsoft.com/office/officeart/2005/8/layout/matrix1"/>
    <dgm:cxn modelId="{32EA04A9-B028-4677-8AB7-BC7A439E7624}" type="presParOf" srcId="{4B3C4870-A2B2-4EBE-A8E1-719671E1CF03}" destId="{8B8A81EE-F04F-42EB-B6CD-FFB78E4DBE75}" srcOrd="4" destOrd="0" presId="urn:microsoft.com/office/officeart/2005/8/layout/matrix1"/>
    <dgm:cxn modelId="{9E646555-0DD3-4A65-A58C-361642706CD9}" type="presParOf" srcId="{4B3C4870-A2B2-4EBE-A8E1-719671E1CF03}" destId="{E777E9A8-0AF0-4C72-B9F3-A84F1DDEFB64}" srcOrd="5" destOrd="0" presId="urn:microsoft.com/office/officeart/2005/8/layout/matrix1"/>
    <dgm:cxn modelId="{14C0A93A-28E1-4A46-9E85-C7A898801A8B}" type="presParOf" srcId="{4B3C4870-A2B2-4EBE-A8E1-719671E1CF03}" destId="{DA822082-1F42-4169-8481-2DDE1D832EC3}" srcOrd="6" destOrd="0" presId="urn:microsoft.com/office/officeart/2005/8/layout/matrix1"/>
    <dgm:cxn modelId="{177DB249-2B76-4006-B1E0-D97911B1E35B}" type="presParOf" srcId="{4B3C4870-A2B2-4EBE-A8E1-719671E1CF03}" destId="{812CEE19-6C98-42EC-AAB4-70EF5A7000DC}" srcOrd="7" destOrd="0" presId="urn:microsoft.com/office/officeart/2005/8/layout/matrix1"/>
    <dgm:cxn modelId="{708EEBF2-2F43-4DD0-9F34-769BE2C150B6}" type="presParOf" srcId="{E9482D27-88B4-4479-B405-461853B3D25A}" destId="{0AABBCB7-2305-462F-894D-47B1873DB033}" srcOrd="1" destOrd="0" presId="urn:microsoft.com/office/officeart/2005/8/layout/matrix1"/>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8EA8939C-85CC-40D8-B5F0-0095299F0513}" type="doc">
      <dgm:prSet loTypeId="urn:microsoft.com/office/officeart/2005/8/layout/matrix1" loCatId="matrix" qsTypeId="urn:microsoft.com/office/officeart/2005/8/quickstyle/simple1" qsCatId="simple" csTypeId="urn:microsoft.com/office/officeart/2005/8/colors/accent1_2" csCatId="accent1" phldr="1"/>
      <dgm:spPr/>
      <dgm:t>
        <a:bodyPr/>
        <a:lstStyle/>
        <a:p>
          <a:endParaRPr lang="en-MY"/>
        </a:p>
      </dgm:t>
    </dgm:pt>
    <dgm:pt modelId="{C72E006B-A73D-4E52-970C-8770AF6FB427}">
      <dgm:prSet phldrT="[Text]" custT="1"/>
      <dgm:spPr>
        <a:xfrm>
          <a:off x="1652564" y="1848049"/>
          <a:ext cx="2181271" cy="788437"/>
        </a:xfrm>
        <a:solidFill>
          <a:srgbClr val="4F81BD">
            <a:tint val="60000"/>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MY" sz="1100" b="1">
              <a:solidFill>
                <a:sysClr val="windowText" lastClr="000000"/>
              </a:solidFill>
              <a:latin typeface="Times New Roman" panose="02020603050405020304" pitchFamily="18" charset="0"/>
              <a:ea typeface="+mn-ea"/>
              <a:cs typeface="Times New Roman" panose="02020603050405020304" pitchFamily="18" charset="0"/>
            </a:rPr>
            <a:t>MEDIATION/ADJUDICATION</a:t>
          </a:r>
        </a:p>
      </dgm:t>
    </dgm:pt>
    <dgm:pt modelId="{3807FAFF-DD41-46B2-8A5F-0B845E6CBC5F}" type="parTrans" cxnId="{F5B8929D-CC03-4C6E-A8D4-BE72C321350E}">
      <dgm:prSet/>
      <dgm:spPr/>
      <dgm:t>
        <a:bodyPr/>
        <a:lstStyle/>
        <a:p>
          <a:endParaRPr lang="en-MY"/>
        </a:p>
      </dgm:t>
    </dgm:pt>
    <dgm:pt modelId="{AD46AA71-12AA-42C2-89D3-293A11F06750}" type="sibTrans" cxnId="{F5B8929D-CC03-4C6E-A8D4-BE72C321350E}">
      <dgm:prSet/>
      <dgm:spPr/>
      <dgm:t>
        <a:bodyPr/>
        <a:lstStyle/>
        <a:p>
          <a:endParaRPr lang="en-MY"/>
        </a:p>
      </dgm:t>
    </dgm:pt>
    <dgm:pt modelId="{5A229427-8E65-4547-8C9A-8E38044AFDDE}">
      <dgm:prSet phldrT="[Text]" custT="1"/>
      <dgm:spPr>
        <a:xfrm rot="16200000">
          <a:off x="250466" y="-250466"/>
          <a:ext cx="2242268" cy="274320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MY" sz="1200" b="1">
              <a:solidFill>
                <a:sysClr val="windowText" lastClr="000000"/>
              </a:solidFill>
              <a:latin typeface="Times New Roman" panose="02020603050405020304" pitchFamily="18" charset="0"/>
              <a:ea typeface="+mn-ea"/>
              <a:cs typeface="Times New Roman" panose="02020603050405020304" pitchFamily="18" charset="0"/>
            </a:rPr>
            <a:t>STRENGTHS</a:t>
          </a:r>
        </a:p>
        <a:p>
          <a:r>
            <a:rPr lang="en-MY" sz="1200" b="1">
              <a:solidFill>
                <a:sysClr val="window" lastClr="FFFFFF"/>
              </a:solidFill>
              <a:latin typeface="Times New Roman" panose="02020603050405020304" pitchFamily="18" charset="0"/>
              <a:ea typeface="+mn-ea"/>
              <a:cs typeface="Times New Roman" panose="02020603050405020304" pitchFamily="18" charset="0"/>
            </a:rPr>
            <a:t>Cost Effective</a:t>
          </a:r>
        </a:p>
        <a:p>
          <a:r>
            <a:rPr lang="en-MY" sz="1200" b="1">
              <a:solidFill>
                <a:sysClr val="window" lastClr="FFFFFF"/>
              </a:solidFill>
              <a:latin typeface="Times New Roman" panose="02020603050405020304" pitchFamily="18" charset="0"/>
              <a:ea typeface="+mn-ea"/>
              <a:cs typeface="Times New Roman" panose="02020603050405020304" pitchFamily="18" charset="0"/>
            </a:rPr>
            <a:t>Efficient, Fast and Convenient</a:t>
          </a:r>
        </a:p>
        <a:p>
          <a:r>
            <a:rPr lang="en-MY" sz="1200" b="1">
              <a:solidFill>
                <a:sysClr val="window" lastClr="FFFFFF"/>
              </a:solidFill>
              <a:latin typeface="Times New Roman" panose="02020603050405020304" pitchFamily="18" charset="0"/>
              <a:ea typeface="+mn-ea"/>
              <a:cs typeface="Times New Roman" panose="02020603050405020304" pitchFamily="18" charset="0"/>
            </a:rPr>
            <a:t>Encourages Amicable Resolution of Dipsutes</a:t>
          </a:r>
        </a:p>
        <a:p>
          <a:r>
            <a:rPr lang="en-MY" sz="1200" b="1">
              <a:solidFill>
                <a:sysClr val="window" lastClr="FFFFFF"/>
              </a:solidFill>
              <a:latin typeface="Times New Roman" panose="02020603050405020304" pitchFamily="18" charset="0"/>
              <a:ea typeface="+mn-ea"/>
              <a:cs typeface="Times New Roman" panose="02020603050405020304" pitchFamily="18" charset="0"/>
            </a:rPr>
            <a:t>Confidential and Private</a:t>
          </a:r>
        </a:p>
        <a:p>
          <a:r>
            <a:rPr lang="en-MY" sz="1200" b="1">
              <a:solidFill>
                <a:sysClr val="window" lastClr="FFFFFF"/>
              </a:solidFill>
              <a:latin typeface="Times New Roman" panose="02020603050405020304" pitchFamily="18" charset="0"/>
              <a:ea typeface="+mn-ea"/>
              <a:cs typeface="Times New Roman" panose="02020603050405020304" pitchFamily="18" charset="0"/>
            </a:rPr>
            <a:t>Result-Oriented</a:t>
          </a:r>
        </a:p>
      </dgm:t>
    </dgm:pt>
    <dgm:pt modelId="{4B78E30B-9262-4DA3-9FF3-9547C37F2636}" type="parTrans" cxnId="{F715CCB2-D9E2-4C5D-8AFB-1587579A94A9}">
      <dgm:prSet/>
      <dgm:spPr/>
      <dgm:t>
        <a:bodyPr/>
        <a:lstStyle/>
        <a:p>
          <a:endParaRPr lang="en-MY"/>
        </a:p>
      </dgm:t>
    </dgm:pt>
    <dgm:pt modelId="{0C7C670C-34B3-49AD-A295-6AA5D1FED651}" type="sibTrans" cxnId="{F715CCB2-D9E2-4C5D-8AFB-1587579A94A9}">
      <dgm:prSet/>
      <dgm:spPr/>
      <dgm:t>
        <a:bodyPr/>
        <a:lstStyle/>
        <a:p>
          <a:endParaRPr lang="en-MY"/>
        </a:p>
      </dgm:t>
    </dgm:pt>
    <dgm:pt modelId="{7A554676-FA32-4FED-8DD4-B438FDDF0176}">
      <dgm:prSet phldrT="[Text]" custT="1"/>
      <dgm:spPr>
        <a:xfrm>
          <a:off x="2743200" y="0"/>
          <a:ext cx="2743200" cy="224226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MY" sz="1200" b="1">
              <a:solidFill>
                <a:sysClr val="windowText" lastClr="000000"/>
              </a:solidFill>
              <a:latin typeface="Times New Roman" panose="02020603050405020304" pitchFamily="18" charset="0"/>
              <a:ea typeface="+mn-ea"/>
              <a:cs typeface="Times New Roman" panose="02020603050405020304" pitchFamily="18" charset="0"/>
            </a:rPr>
            <a:t>WEAKNESSES</a:t>
          </a:r>
        </a:p>
        <a:p>
          <a:r>
            <a:rPr lang="en-MY" sz="1200" b="1">
              <a:solidFill>
                <a:sysClr val="window" lastClr="FFFFFF"/>
              </a:solidFill>
              <a:latin typeface="Times New Roman" panose="02020603050405020304" pitchFamily="18" charset="0"/>
              <a:ea typeface="+mn-ea"/>
              <a:cs typeface="Times New Roman" panose="02020603050405020304" pitchFamily="18" charset="0"/>
            </a:rPr>
            <a:t>Mediators may not be Experts in Islamic finance Principles</a:t>
          </a:r>
        </a:p>
        <a:p>
          <a:r>
            <a:rPr lang="en-MY" sz="1200" b="1">
              <a:solidFill>
                <a:sysClr val="window" lastClr="FFFFFF"/>
              </a:solidFill>
              <a:latin typeface="Times New Roman" panose="02020603050405020304" pitchFamily="18" charset="0"/>
              <a:ea typeface="+mn-ea"/>
              <a:cs typeface="Times New Roman" panose="02020603050405020304" pitchFamily="18" charset="0"/>
            </a:rPr>
            <a:t>Decision is not Binding on the Customer</a:t>
          </a:r>
        </a:p>
        <a:p>
          <a:r>
            <a:rPr lang="en-MY" sz="1200" b="1">
              <a:solidFill>
                <a:sysClr val="window" lastClr="FFFFFF"/>
              </a:solidFill>
              <a:latin typeface="Times New Roman" panose="02020603050405020304" pitchFamily="18" charset="0"/>
              <a:ea typeface="+mn-ea"/>
              <a:cs typeface="Times New Roman" panose="02020603050405020304" pitchFamily="18" charset="0"/>
            </a:rPr>
            <a:t>FMB has Limited Jurisdiction</a:t>
          </a:r>
        </a:p>
      </dgm:t>
    </dgm:pt>
    <dgm:pt modelId="{459D4C38-3F66-4D20-B237-E8A056048617}" type="parTrans" cxnId="{FDBDE638-6A3F-4B6D-B9FC-CEDB6FB6BBE7}">
      <dgm:prSet/>
      <dgm:spPr/>
      <dgm:t>
        <a:bodyPr/>
        <a:lstStyle/>
        <a:p>
          <a:endParaRPr lang="en-MY"/>
        </a:p>
      </dgm:t>
    </dgm:pt>
    <dgm:pt modelId="{C8A5C630-C71D-4DA3-88ED-C1852FE123E3}" type="sibTrans" cxnId="{FDBDE638-6A3F-4B6D-B9FC-CEDB6FB6BBE7}">
      <dgm:prSet/>
      <dgm:spPr/>
      <dgm:t>
        <a:bodyPr/>
        <a:lstStyle/>
        <a:p>
          <a:endParaRPr lang="en-MY"/>
        </a:p>
      </dgm:t>
    </dgm:pt>
    <dgm:pt modelId="{83DBC068-29FA-4DFE-A6ED-B050DAB31D30}">
      <dgm:prSet phldrT="[Text]" custT="1"/>
      <dgm:spPr>
        <a:xfrm rot="10800000">
          <a:off x="0" y="2242268"/>
          <a:ext cx="2743200" cy="224226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MY" sz="1200" b="1">
              <a:solidFill>
                <a:sysClr val="windowText" lastClr="000000"/>
              </a:solidFill>
              <a:latin typeface="Times New Roman" panose="02020603050405020304" pitchFamily="18" charset="0"/>
              <a:ea typeface="+mn-ea"/>
              <a:cs typeface="Times New Roman" panose="02020603050405020304" pitchFamily="18" charset="0"/>
            </a:rPr>
            <a:t>OPPORTUNITIES</a:t>
          </a:r>
        </a:p>
        <a:p>
          <a:r>
            <a:rPr lang="en-MY" sz="1200" b="1">
              <a:solidFill>
                <a:sysClr val="window" lastClr="FFFFFF"/>
              </a:solidFill>
              <a:latin typeface="Times New Roman" panose="02020603050405020304" pitchFamily="18" charset="0"/>
              <a:ea typeface="+mn-ea"/>
              <a:cs typeface="Times New Roman" panose="02020603050405020304" pitchFamily="18" charset="0"/>
            </a:rPr>
            <a:t>Customers need not Pay Fees</a:t>
          </a:r>
        </a:p>
        <a:p>
          <a:r>
            <a:rPr lang="en-MY" sz="1200" b="1">
              <a:solidFill>
                <a:sysClr val="window" lastClr="FFFFFF"/>
              </a:solidFill>
              <a:latin typeface="Times New Roman" panose="02020603050405020304" pitchFamily="18" charset="0"/>
              <a:ea typeface="+mn-ea"/>
              <a:cs typeface="Times New Roman" panose="02020603050405020304" pitchFamily="18" charset="0"/>
            </a:rPr>
            <a:t>Lawyers are not Involved in the Process</a:t>
          </a:r>
        </a:p>
      </dgm:t>
    </dgm:pt>
    <dgm:pt modelId="{31BB6768-8FF3-4434-AD7B-28E15BF2C6CC}" type="parTrans" cxnId="{F035FC2C-7483-4007-9C93-EC349B92F26D}">
      <dgm:prSet/>
      <dgm:spPr/>
      <dgm:t>
        <a:bodyPr/>
        <a:lstStyle/>
        <a:p>
          <a:endParaRPr lang="en-MY"/>
        </a:p>
      </dgm:t>
    </dgm:pt>
    <dgm:pt modelId="{6B2513CD-CB02-4E12-A97F-547D373191F5}" type="sibTrans" cxnId="{F035FC2C-7483-4007-9C93-EC349B92F26D}">
      <dgm:prSet/>
      <dgm:spPr/>
      <dgm:t>
        <a:bodyPr/>
        <a:lstStyle/>
        <a:p>
          <a:endParaRPr lang="en-MY"/>
        </a:p>
      </dgm:t>
    </dgm:pt>
    <dgm:pt modelId="{D67CF95F-94AA-465E-98CE-82601A2BFBCA}">
      <dgm:prSet phldrT="[Text]" custT="1"/>
      <dgm:spPr>
        <a:xfrm rot="5400000">
          <a:off x="2993666" y="1991802"/>
          <a:ext cx="2242268" cy="274320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MY" sz="1200" b="1">
              <a:solidFill>
                <a:sysClr val="windowText" lastClr="000000"/>
              </a:solidFill>
              <a:latin typeface="Times New Roman" panose="02020603050405020304" pitchFamily="18" charset="0"/>
              <a:ea typeface="+mn-ea"/>
              <a:cs typeface="Times New Roman" panose="02020603050405020304" pitchFamily="18" charset="0"/>
            </a:rPr>
            <a:t>THREATS</a:t>
          </a:r>
        </a:p>
        <a:p>
          <a:r>
            <a:rPr lang="en-MY" sz="1200" b="1">
              <a:solidFill>
                <a:sysClr val="window" lastClr="FFFFFF"/>
              </a:solidFill>
              <a:latin typeface="Times New Roman" panose="02020603050405020304" pitchFamily="18" charset="0"/>
              <a:ea typeface="+mn-ea"/>
              <a:cs typeface="Times New Roman" panose="02020603050405020304" pitchFamily="18" charset="0"/>
            </a:rPr>
            <a:t>FSP are Bound by the Decision of the mediators</a:t>
          </a:r>
        </a:p>
        <a:p>
          <a:r>
            <a:rPr lang="en-MY" sz="1200" b="1">
              <a:solidFill>
                <a:sysClr val="window" lastClr="FFFFFF"/>
              </a:solidFill>
              <a:latin typeface="Times New Roman" panose="02020603050405020304" pitchFamily="18" charset="0"/>
              <a:ea typeface="+mn-ea"/>
              <a:cs typeface="Times New Roman" panose="02020603050405020304" pitchFamily="18" charset="0"/>
            </a:rPr>
            <a:t>Independence of the Mediators is not Guaranteed</a:t>
          </a:r>
        </a:p>
        <a:p>
          <a:r>
            <a:rPr lang="en-MY" sz="1200" b="1">
              <a:solidFill>
                <a:sysClr val="window" lastClr="FFFFFF"/>
              </a:solidFill>
              <a:latin typeface="Times New Roman" panose="02020603050405020304" pitchFamily="18" charset="0"/>
              <a:ea typeface="+mn-ea"/>
              <a:cs typeface="Times New Roman" panose="02020603050405020304" pitchFamily="18" charset="0"/>
            </a:rPr>
            <a:t>Disputes are based on Experience and may Cause Delay.</a:t>
          </a:r>
        </a:p>
      </dgm:t>
    </dgm:pt>
    <dgm:pt modelId="{22EEE9B6-EC5B-4505-976C-2F280BEC33D2}" type="parTrans" cxnId="{2CA3C597-F46C-4BD5-8DCF-730A98C45857}">
      <dgm:prSet/>
      <dgm:spPr/>
      <dgm:t>
        <a:bodyPr/>
        <a:lstStyle/>
        <a:p>
          <a:endParaRPr lang="en-MY"/>
        </a:p>
      </dgm:t>
    </dgm:pt>
    <dgm:pt modelId="{45C82902-3229-4C1F-AA42-3A3FC1A56E09}" type="sibTrans" cxnId="{2CA3C597-F46C-4BD5-8DCF-730A98C45857}">
      <dgm:prSet/>
      <dgm:spPr/>
      <dgm:t>
        <a:bodyPr/>
        <a:lstStyle/>
        <a:p>
          <a:endParaRPr lang="en-MY"/>
        </a:p>
      </dgm:t>
    </dgm:pt>
    <dgm:pt modelId="{04DF5966-440F-4681-AB8D-D13C373AF1B8}" type="pres">
      <dgm:prSet presAssocID="{8EA8939C-85CC-40D8-B5F0-0095299F0513}" presName="diagram" presStyleCnt="0">
        <dgm:presLayoutVars>
          <dgm:chMax val="1"/>
          <dgm:dir/>
          <dgm:animLvl val="ctr"/>
          <dgm:resizeHandles val="exact"/>
        </dgm:presLayoutVars>
      </dgm:prSet>
      <dgm:spPr/>
    </dgm:pt>
    <dgm:pt modelId="{A4150E5A-E61A-4D66-9405-95B4EA69B311}" type="pres">
      <dgm:prSet presAssocID="{8EA8939C-85CC-40D8-B5F0-0095299F0513}" presName="matrix" presStyleCnt="0"/>
      <dgm:spPr/>
    </dgm:pt>
    <dgm:pt modelId="{6611C485-99FD-4484-BA00-922CA97A605C}" type="pres">
      <dgm:prSet presAssocID="{8EA8939C-85CC-40D8-B5F0-0095299F0513}" presName="tile1" presStyleLbl="node1" presStyleIdx="0" presStyleCnt="4"/>
      <dgm:spPr>
        <a:prstGeom prst="round1Rect">
          <a:avLst/>
        </a:prstGeom>
      </dgm:spPr>
    </dgm:pt>
    <dgm:pt modelId="{158E836D-1372-4454-8D26-9D584ABD5283}" type="pres">
      <dgm:prSet presAssocID="{8EA8939C-85CC-40D8-B5F0-0095299F0513}" presName="tile1text" presStyleLbl="node1" presStyleIdx="0" presStyleCnt="4">
        <dgm:presLayoutVars>
          <dgm:chMax val="0"/>
          <dgm:chPref val="0"/>
          <dgm:bulletEnabled val="1"/>
        </dgm:presLayoutVars>
      </dgm:prSet>
      <dgm:spPr/>
    </dgm:pt>
    <dgm:pt modelId="{044246EB-72CB-4F41-A9CE-38260D5389FE}" type="pres">
      <dgm:prSet presAssocID="{8EA8939C-85CC-40D8-B5F0-0095299F0513}" presName="tile2" presStyleLbl="node1" presStyleIdx="1" presStyleCnt="4"/>
      <dgm:spPr>
        <a:prstGeom prst="round1Rect">
          <a:avLst/>
        </a:prstGeom>
      </dgm:spPr>
    </dgm:pt>
    <dgm:pt modelId="{4A8D733E-01B7-47BB-9445-A524EA49B952}" type="pres">
      <dgm:prSet presAssocID="{8EA8939C-85CC-40D8-B5F0-0095299F0513}" presName="tile2text" presStyleLbl="node1" presStyleIdx="1" presStyleCnt="4">
        <dgm:presLayoutVars>
          <dgm:chMax val="0"/>
          <dgm:chPref val="0"/>
          <dgm:bulletEnabled val="1"/>
        </dgm:presLayoutVars>
      </dgm:prSet>
      <dgm:spPr/>
    </dgm:pt>
    <dgm:pt modelId="{A5073407-CED2-43EB-BA27-F0FFF90DD7C6}" type="pres">
      <dgm:prSet presAssocID="{8EA8939C-85CC-40D8-B5F0-0095299F0513}" presName="tile3" presStyleLbl="node1" presStyleIdx="2" presStyleCnt="4"/>
      <dgm:spPr>
        <a:prstGeom prst="round1Rect">
          <a:avLst/>
        </a:prstGeom>
      </dgm:spPr>
    </dgm:pt>
    <dgm:pt modelId="{7A9DA0CF-E79F-44D5-A398-D9BBA45A366B}" type="pres">
      <dgm:prSet presAssocID="{8EA8939C-85CC-40D8-B5F0-0095299F0513}" presName="tile3text" presStyleLbl="node1" presStyleIdx="2" presStyleCnt="4">
        <dgm:presLayoutVars>
          <dgm:chMax val="0"/>
          <dgm:chPref val="0"/>
          <dgm:bulletEnabled val="1"/>
        </dgm:presLayoutVars>
      </dgm:prSet>
      <dgm:spPr/>
    </dgm:pt>
    <dgm:pt modelId="{F2602464-0665-43AE-B1D8-DB4924BD494C}" type="pres">
      <dgm:prSet presAssocID="{8EA8939C-85CC-40D8-B5F0-0095299F0513}" presName="tile4" presStyleLbl="node1" presStyleIdx="3" presStyleCnt="4"/>
      <dgm:spPr>
        <a:prstGeom prst="round1Rect">
          <a:avLst/>
        </a:prstGeom>
      </dgm:spPr>
    </dgm:pt>
    <dgm:pt modelId="{945CDBF0-FDA6-4340-A2DE-550E87B1897E}" type="pres">
      <dgm:prSet presAssocID="{8EA8939C-85CC-40D8-B5F0-0095299F0513}" presName="tile4text" presStyleLbl="node1" presStyleIdx="3" presStyleCnt="4">
        <dgm:presLayoutVars>
          <dgm:chMax val="0"/>
          <dgm:chPref val="0"/>
          <dgm:bulletEnabled val="1"/>
        </dgm:presLayoutVars>
      </dgm:prSet>
      <dgm:spPr/>
    </dgm:pt>
    <dgm:pt modelId="{9479EEDA-25FE-4EC0-9E8A-B093995BFF1E}" type="pres">
      <dgm:prSet presAssocID="{8EA8939C-85CC-40D8-B5F0-0095299F0513}" presName="centerTile" presStyleLbl="fgShp" presStyleIdx="0" presStyleCnt="1" custScaleX="132526" custScaleY="70325">
        <dgm:presLayoutVars>
          <dgm:chMax val="0"/>
          <dgm:chPref val="0"/>
        </dgm:presLayoutVars>
      </dgm:prSet>
      <dgm:spPr>
        <a:prstGeom prst="roundRect">
          <a:avLst/>
        </a:prstGeom>
      </dgm:spPr>
    </dgm:pt>
  </dgm:ptLst>
  <dgm:cxnLst>
    <dgm:cxn modelId="{CC5EFB08-47E4-4C1B-B3A8-9138D2213D08}" type="presOf" srcId="{D67CF95F-94AA-465E-98CE-82601A2BFBCA}" destId="{945CDBF0-FDA6-4340-A2DE-550E87B1897E}" srcOrd="1" destOrd="0" presId="urn:microsoft.com/office/officeart/2005/8/layout/matrix1"/>
    <dgm:cxn modelId="{2703660E-EA6F-4C33-A951-3F85BD0D7DE3}" type="presOf" srcId="{5A229427-8E65-4547-8C9A-8E38044AFDDE}" destId="{6611C485-99FD-4484-BA00-922CA97A605C}" srcOrd="0" destOrd="0" presId="urn:microsoft.com/office/officeart/2005/8/layout/matrix1"/>
    <dgm:cxn modelId="{04F1F828-A0B9-4621-A3D3-900879F5AEF2}" type="presOf" srcId="{7A554676-FA32-4FED-8DD4-B438FDDF0176}" destId="{4A8D733E-01B7-47BB-9445-A524EA49B952}" srcOrd="1" destOrd="0" presId="urn:microsoft.com/office/officeart/2005/8/layout/matrix1"/>
    <dgm:cxn modelId="{F035FC2C-7483-4007-9C93-EC349B92F26D}" srcId="{C72E006B-A73D-4E52-970C-8770AF6FB427}" destId="{83DBC068-29FA-4DFE-A6ED-B050DAB31D30}" srcOrd="2" destOrd="0" parTransId="{31BB6768-8FF3-4434-AD7B-28E15BF2C6CC}" sibTransId="{6B2513CD-CB02-4E12-A97F-547D373191F5}"/>
    <dgm:cxn modelId="{FDBDE638-6A3F-4B6D-B9FC-CEDB6FB6BBE7}" srcId="{C72E006B-A73D-4E52-970C-8770AF6FB427}" destId="{7A554676-FA32-4FED-8DD4-B438FDDF0176}" srcOrd="1" destOrd="0" parTransId="{459D4C38-3F66-4D20-B237-E8A056048617}" sibTransId="{C8A5C630-C71D-4DA3-88ED-C1852FE123E3}"/>
    <dgm:cxn modelId="{A74FFF5E-7BA7-4F2E-9EE0-CE97B94FACC6}" type="presOf" srcId="{D67CF95F-94AA-465E-98CE-82601A2BFBCA}" destId="{F2602464-0665-43AE-B1D8-DB4924BD494C}" srcOrd="0" destOrd="0" presId="urn:microsoft.com/office/officeart/2005/8/layout/matrix1"/>
    <dgm:cxn modelId="{03C95874-C679-4C4C-9ED8-8205FC8B1C7F}" type="presOf" srcId="{5A229427-8E65-4547-8C9A-8E38044AFDDE}" destId="{158E836D-1372-4454-8D26-9D584ABD5283}" srcOrd="1" destOrd="0" presId="urn:microsoft.com/office/officeart/2005/8/layout/matrix1"/>
    <dgm:cxn modelId="{24481855-F6E2-4FAB-9461-972084153090}" type="presOf" srcId="{8EA8939C-85CC-40D8-B5F0-0095299F0513}" destId="{04DF5966-440F-4681-AB8D-D13C373AF1B8}" srcOrd="0" destOrd="0" presId="urn:microsoft.com/office/officeart/2005/8/layout/matrix1"/>
    <dgm:cxn modelId="{B52F1A59-D53C-497C-91B9-661FBA7E450E}" type="presOf" srcId="{83DBC068-29FA-4DFE-A6ED-B050DAB31D30}" destId="{7A9DA0CF-E79F-44D5-A398-D9BBA45A366B}" srcOrd="1" destOrd="0" presId="urn:microsoft.com/office/officeart/2005/8/layout/matrix1"/>
    <dgm:cxn modelId="{3465E287-B1F4-4B74-AC4F-3D1FBBE37CD3}" type="presOf" srcId="{7A554676-FA32-4FED-8DD4-B438FDDF0176}" destId="{044246EB-72CB-4F41-A9CE-38260D5389FE}" srcOrd="0" destOrd="0" presId="urn:microsoft.com/office/officeart/2005/8/layout/matrix1"/>
    <dgm:cxn modelId="{2CA3C597-F46C-4BD5-8DCF-730A98C45857}" srcId="{C72E006B-A73D-4E52-970C-8770AF6FB427}" destId="{D67CF95F-94AA-465E-98CE-82601A2BFBCA}" srcOrd="3" destOrd="0" parTransId="{22EEE9B6-EC5B-4505-976C-2F280BEC33D2}" sibTransId="{45C82902-3229-4C1F-AA42-3A3FC1A56E09}"/>
    <dgm:cxn modelId="{F5B8929D-CC03-4C6E-A8D4-BE72C321350E}" srcId="{8EA8939C-85CC-40D8-B5F0-0095299F0513}" destId="{C72E006B-A73D-4E52-970C-8770AF6FB427}" srcOrd="0" destOrd="0" parTransId="{3807FAFF-DD41-46B2-8A5F-0B845E6CBC5F}" sibTransId="{AD46AA71-12AA-42C2-89D3-293A11F06750}"/>
    <dgm:cxn modelId="{F715CCB2-D9E2-4C5D-8AFB-1587579A94A9}" srcId="{C72E006B-A73D-4E52-970C-8770AF6FB427}" destId="{5A229427-8E65-4547-8C9A-8E38044AFDDE}" srcOrd="0" destOrd="0" parTransId="{4B78E30B-9262-4DA3-9FF3-9547C37F2636}" sibTransId="{0C7C670C-34B3-49AD-A295-6AA5D1FED651}"/>
    <dgm:cxn modelId="{A1D47DBE-E836-4DBE-AF84-05277DA1B9A0}" type="presOf" srcId="{C72E006B-A73D-4E52-970C-8770AF6FB427}" destId="{9479EEDA-25FE-4EC0-9E8A-B093995BFF1E}" srcOrd="0" destOrd="0" presId="urn:microsoft.com/office/officeart/2005/8/layout/matrix1"/>
    <dgm:cxn modelId="{097F0FE9-72AD-4869-9FDF-88177E400256}" type="presOf" srcId="{83DBC068-29FA-4DFE-A6ED-B050DAB31D30}" destId="{A5073407-CED2-43EB-BA27-F0FFF90DD7C6}" srcOrd="0" destOrd="0" presId="urn:microsoft.com/office/officeart/2005/8/layout/matrix1"/>
    <dgm:cxn modelId="{8CD553EF-A1EF-4EF9-B715-663EEC7F761B}" type="presParOf" srcId="{04DF5966-440F-4681-AB8D-D13C373AF1B8}" destId="{A4150E5A-E61A-4D66-9405-95B4EA69B311}" srcOrd="0" destOrd="0" presId="urn:microsoft.com/office/officeart/2005/8/layout/matrix1"/>
    <dgm:cxn modelId="{362FA5E1-5ABD-4583-93BF-EE705900C553}" type="presParOf" srcId="{A4150E5A-E61A-4D66-9405-95B4EA69B311}" destId="{6611C485-99FD-4484-BA00-922CA97A605C}" srcOrd="0" destOrd="0" presId="urn:microsoft.com/office/officeart/2005/8/layout/matrix1"/>
    <dgm:cxn modelId="{77509072-CAEC-4053-BC29-A12FC30CF07F}" type="presParOf" srcId="{A4150E5A-E61A-4D66-9405-95B4EA69B311}" destId="{158E836D-1372-4454-8D26-9D584ABD5283}" srcOrd="1" destOrd="0" presId="urn:microsoft.com/office/officeart/2005/8/layout/matrix1"/>
    <dgm:cxn modelId="{7CE42235-4915-4375-A892-D8EB8BF217D1}" type="presParOf" srcId="{A4150E5A-E61A-4D66-9405-95B4EA69B311}" destId="{044246EB-72CB-4F41-A9CE-38260D5389FE}" srcOrd="2" destOrd="0" presId="urn:microsoft.com/office/officeart/2005/8/layout/matrix1"/>
    <dgm:cxn modelId="{51DFE9FC-9147-4D45-B186-D845F45C4C23}" type="presParOf" srcId="{A4150E5A-E61A-4D66-9405-95B4EA69B311}" destId="{4A8D733E-01B7-47BB-9445-A524EA49B952}" srcOrd="3" destOrd="0" presId="urn:microsoft.com/office/officeart/2005/8/layout/matrix1"/>
    <dgm:cxn modelId="{31672979-DAE9-48D0-9DA3-C87AAD08BFBD}" type="presParOf" srcId="{A4150E5A-E61A-4D66-9405-95B4EA69B311}" destId="{A5073407-CED2-43EB-BA27-F0FFF90DD7C6}" srcOrd="4" destOrd="0" presId="urn:microsoft.com/office/officeart/2005/8/layout/matrix1"/>
    <dgm:cxn modelId="{8BC1D81C-0635-4177-A2D9-727C734DFFD4}" type="presParOf" srcId="{A4150E5A-E61A-4D66-9405-95B4EA69B311}" destId="{7A9DA0CF-E79F-44D5-A398-D9BBA45A366B}" srcOrd="5" destOrd="0" presId="urn:microsoft.com/office/officeart/2005/8/layout/matrix1"/>
    <dgm:cxn modelId="{2C25FF6E-42ED-430B-8A9F-532EEC8BE3E3}" type="presParOf" srcId="{A4150E5A-E61A-4D66-9405-95B4EA69B311}" destId="{F2602464-0665-43AE-B1D8-DB4924BD494C}" srcOrd="6" destOrd="0" presId="urn:microsoft.com/office/officeart/2005/8/layout/matrix1"/>
    <dgm:cxn modelId="{620CEC21-C798-4ADD-923F-D247E0A3052D}" type="presParOf" srcId="{A4150E5A-E61A-4D66-9405-95B4EA69B311}" destId="{945CDBF0-FDA6-4340-A2DE-550E87B1897E}" srcOrd="7" destOrd="0" presId="urn:microsoft.com/office/officeart/2005/8/layout/matrix1"/>
    <dgm:cxn modelId="{66190E83-246E-44B8-8F89-D1A0B3BA041F}" type="presParOf" srcId="{04DF5966-440F-4681-AB8D-D13C373AF1B8}" destId="{9479EEDA-25FE-4EC0-9E8A-B093995BFF1E}" srcOrd="1" destOrd="0" presId="urn:microsoft.com/office/officeart/2005/8/layout/matrix1"/>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F8B69C4A-18DD-4DFC-9261-3DE63A4C9230}" type="doc">
      <dgm:prSet loTypeId="urn:microsoft.com/office/officeart/2005/8/layout/matrix1" loCatId="matrix" qsTypeId="urn:microsoft.com/office/officeart/2005/8/quickstyle/simple1" qsCatId="simple" csTypeId="urn:microsoft.com/office/officeart/2005/8/colors/accent1_2" csCatId="accent1" phldr="1"/>
      <dgm:spPr/>
      <dgm:t>
        <a:bodyPr/>
        <a:lstStyle/>
        <a:p>
          <a:endParaRPr lang="en-MY"/>
        </a:p>
      </dgm:t>
    </dgm:pt>
    <dgm:pt modelId="{0A32C1A2-7E61-4259-9652-3F05E4E16042}">
      <dgm:prSet phldrT="[Text]" custT="1"/>
      <dgm:spPr>
        <a:xfrm>
          <a:off x="2008291" y="1992268"/>
          <a:ext cx="1768199" cy="1097602"/>
        </a:xfrm>
        <a:solidFill>
          <a:srgbClr val="4F81BD">
            <a:tint val="60000"/>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MY" sz="1200" b="1">
              <a:solidFill>
                <a:sysClr val="windowText" lastClr="000000"/>
              </a:solidFill>
              <a:latin typeface="Times New Roman" panose="02020603050405020304" pitchFamily="18" charset="0"/>
              <a:ea typeface="+mn-ea"/>
              <a:cs typeface="Times New Roman" panose="02020603050405020304" pitchFamily="18" charset="0"/>
            </a:rPr>
            <a:t>MEDIATION</a:t>
          </a:r>
        </a:p>
      </dgm:t>
    </dgm:pt>
    <dgm:pt modelId="{8FDE9A55-8471-439E-B8A1-1686284F86ED}" type="parTrans" cxnId="{5130AC7E-8FDC-46A3-B84E-E2E964C7443A}">
      <dgm:prSet/>
      <dgm:spPr/>
      <dgm:t>
        <a:bodyPr/>
        <a:lstStyle/>
        <a:p>
          <a:endParaRPr lang="en-MY"/>
        </a:p>
      </dgm:t>
    </dgm:pt>
    <dgm:pt modelId="{91E7786A-EBED-4E2E-A579-D64E11512222}" type="sibTrans" cxnId="{5130AC7E-8FDC-46A3-B84E-E2E964C7443A}">
      <dgm:prSet/>
      <dgm:spPr/>
      <dgm:t>
        <a:bodyPr/>
        <a:lstStyle/>
        <a:p>
          <a:endParaRPr lang="en-MY"/>
        </a:p>
      </dgm:t>
    </dgm:pt>
    <dgm:pt modelId="{79D15ECE-7E1D-4D14-A044-6ECBE15C93A4}">
      <dgm:prSet phldrT="[Text]" custT="1"/>
      <dgm:spPr>
        <a:xfrm rot="16200000">
          <a:off x="175660" y="-175660"/>
          <a:ext cx="2541069" cy="2892391"/>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endParaRPr lang="en-MY" sz="1200" b="1">
            <a:solidFill>
              <a:sysClr val="window" lastClr="FFFFFF"/>
            </a:solidFill>
            <a:latin typeface="Calibri"/>
            <a:ea typeface="+mn-ea"/>
            <a:cs typeface="+mn-cs"/>
          </a:endParaRPr>
        </a:p>
        <a:p>
          <a:r>
            <a:rPr lang="en-MY" sz="1200" b="1">
              <a:solidFill>
                <a:sysClr val="windowText" lastClr="000000"/>
              </a:solidFill>
              <a:latin typeface="Times New Roman" panose="02020603050405020304" pitchFamily="18" charset="0"/>
              <a:ea typeface="+mn-ea"/>
              <a:cs typeface="Times New Roman" panose="02020603050405020304" pitchFamily="18" charset="0"/>
            </a:rPr>
            <a:t>STRENGTHS</a:t>
          </a:r>
        </a:p>
        <a:p>
          <a:r>
            <a:rPr lang="en-MY" sz="1200" b="1">
              <a:solidFill>
                <a:sysClr val="window" lastClr="FFFFFF"/>
              </a:solidFill>
              <a:latin typeface="Times New Roman" panose="02020603050405020304" pitchFamily="18" charset="0"/>
              <a:ea typeface="+mn-ea"/>
              <a:cs typeface="Times New Roman" panose="02020603050405020304" pitchFamily="18" charset="0"/>
            </a:rPr>
            <a:t>Repairs, Improves and Mend Bruised Relationships</a:t>
          </a:r>
        </a:p>
        <a:p>
          <a:r>
            <a:rPr lang="en-MY" sz="1200" b="1">
              <a:solidFill>
                <a:sysClr val="window" lastClr="FFFFFF"/>
              </a:solidFill>
              <a:latin typeface="Times New Roman" panose="02020603050405020304" pitchFamily="18" charset="0"/>
              <a:ea typeface="+mn-ea"/>
              <a:cs typeface="Times New Roman" panose="02020603050405020304" pitchFamily="18" charset="0"/>
            </a:rPr>
            <a:t>Time and Money-saving Advantage</a:t>
          </a:r>
        </a:p>
        <a:p>
          <a:r>
            <a:rPr lang="en-MY" sz="1200" b="1">
              <a:solidFill>
                <a:sysClr val="window" lastClr="FFFFFF"/>
              </a:solidFill>
              <a:latin typeface="Times New Roman" panose="02020603050405020304" pitchFamily="18" charset="0"/>
              <a:ea typeface="+mn-ea"/>
              <a:cs typeface="Times New Roman" panose="02020603050405020304" pitchFamily="18" charset="0"/>
            </a:rPr>
            <a:t>Non-Adversarial Procedure</a:t>
          </a:r>
        </a:p>
        <a:p>
          <a:r>
            <a:rPr lang="en-MY" sz="1200" b="1">
              <a:solidFill>
                <a:sysClr val="window" lastClr="FFFFFF"/>
              </a:solidFill>
              <a:latin typeface="Times New Roman" panose="02020603050405020304" pitchFamily="18" charset="0"/>
              <a:ea typeface="+mn-ea"/>
              <a:cs typeface="Times New Roman" panose="02020603050405020304" pitchFamily="18" charset="0"/>
            </a:rPr>
            <a:t>Professional and Accredited Panel of Mediators</a:t>
          </a:r>
        </a:p>
        <a:p>
          <a:r>
            <a:rPr lang="en-MY" sz="1200" b="1">
              <a:solidFill>
                <a:sysClr val="window" lastClr="FFFFFF"/>
              </a:solidFill>
              <a:latin typeface="Times New Roman" panose="02020603050405020304" pitchFamily="18" charset="0"/>
              <a:ea typeface="+mn-ea"/>
              <a:cs typeface="Times New Roman" panose="02020603050405020304" pitchFamily="18" charset="0"/>
            </a:rPr>
            <a:t>No Need for Lawyers, Use of Legal Jargons and Legalese</a:t>
          </a:r>
        </a:p>
        <a:p>
          <a:endParaRPr lang="en-MY" sz="800">
            <a:solidFill>
              <a:sysClr val="window" lastClr="FFFFFF"/>
            </a:solidFill>
            <a:latin typeface="Calibri"/>
            <a:ea typeface="+mn-ea"/>
            <a:cs typeface="+mn-cs"/>
          </a:endParaRPr>
        </a:p>
      </dgm:t>
    </dgm:pt>
    <dgm:pt modelId="{C428D0F1-299A-4B23-84BF-235B741A276B}" type="parTrans" cxnId="{B9882056-7273-46C1-83C4-45FF9553654D}">
      <dgm:prSet/>
      <dgm:spPr/>
      <dgm:t>
        <a:bodyPr/>
        <a:lstStyle/>
        <a:p>
          <a:endParaRPr lang="en-MY"/>
        </a:p>
      </dgm:t>
    </dgm:pt>
    <dgm:pt modelId="{60DB12EC-3B44-41F2-AA0C-CE4B499EF8A0}" type="sibTrans" cxnId="{B9882056-7273-46C1-83C4-45FF9553654D}">
      <dgm:prSet/>
      <dgm:spPr/>
      <dgm:t>
        <a:bodyPr/>
        <a:lstStyle/>
        <a:p>
          <a:endParaRPr lang="en-MY"/>
        </a:p>
      </dgm:t>
    </dgm:pt>
    <dgm:pt modelId="{C2070D3E-339E-476A-B11A-9D49C330EF10}">
      <dgm:prSet phldrT="[Text]" custT="1"/>
      <dgm:spPr>
        <a:xfrm>
          <a:off x="2892391" y="0"/>
          <a:ext cx="2892391" cy="254106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MY" sz="1200" b="1">
              <a:solidFill>
                <a:sysClr val="windowText" lastClr="000000"/>
              </a:solidFill>
              <a:latin typeface="Times New Roman" panose="02020603050405020304" pitchFamily="18" charset="0"/>
              <a:ea typeface="+mn-ea"/>
              <a:cs typeface="Times New Roman" panose="02020603050405020304" pitchFamily="18" charset="0"/>
            </a:rPr>
            <a:t>WEAKNESSES</a:t>
          </a:r>
        </a:p>
        <a:p>
          <a:r>
            <a:rPr lang="en-MY" sz="1200" b="1">
              <a:solidFill>
                <a:sysClr val="window" lastClr="FFFFFF"/>
              </a:solidFill>
              <a:latin typeface="Times New Roman" panose="02020603050405020304" pitchFamily="18" charset="0"/>
              <a:ea typeface="+mn-ea"/>
              <a:cs typeface="Times New Roman" panose="02020603050405020304" pitchFamily="18" charset="0"/>
            </a:rPr>
            <a:t>Counter-Productive Procedural Requirements of the Mediation Act</a:t>
          </a:r>
        </a:p>
        <a:p>
          <a:r>
            <a:rPr lang="en-MY" sz="1200" b="1">
              <a:solidFill>
                <a:sysClr val="window" lastClr="FFFFFF"/>
              </a:solidFill>
              <a:latin typeface="Times New Roman" panose="02020603050405020304" pitchFamily="18" charset="0"/>
              <a:ea typeface="+mn-ea"/>
              <a:cs typeface="Times New Roman" panose="02020603050405020304" pitchFamily="18" charset="0"/>
            </a:rPr>
            <a:t>Stringent and Rigourous Procedures</a:t>
          </a:r>
        </a:p>
      </dgm:t>
    </dgm:pt>
    <dgm:pt modelId="{95F5880D-C883-47B3-BF67-8CBC69F58CF1}" type="parTrans" cxnId="{D84C8543-465F-489A-AF36-B9D72AAE261C}">
      <dgm:prSet/>
      <dgm:spPr/>
      <dgm:t>
        <a:bodyPr/>
        <a:lstStyle/>
        <a:p>
          <a:endParaRPr lang="en-MY"/>
        </a:p>
      </dgm:t>
    </dgm:pt>
    <dgm:pt modelId="{01A5C8C3-ACE0-4576-8135-DC81212371DB}" type="sibTrans" cxnId="{D84C8543-465F-489A-AF36-B9D72AAE261C}">
      <dgm:prSet/>
      <dgm:spPr/>
      <dgm:t>
        <a:bodyPr/>
        <a:lstStyle/>
        <a:p>
          <a:endParaRPr lang="en-MY"/>
        </a:p>
      </dgm:t>
    </dgm:pt>
    <dgm:pt modelId="{D64525B4-8B6E-4593-8AC4-A3F248CF6AFB}">
      <dgm:prSet phldrT="[Text]" custT="1"/>
      <dgm:spPr>
        <a:xfrm rot="10800000">
          <a:off x="0" y="2541069"/>
          <a:ext cx="2892391" cy="254106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MY" sz="1200" b="1">
              <a:solidFill>
                <a:sysClr val="windowText" lastClr="000000"/>
              </a:solidFill>
              <a:latin typeface="Times New Roman" panose="02020603050405020304" pitchFamily="18" charset="0"/>
              <a:ea typeface="+mn-ea"/>
              <a:cs typeface="Times New Roman" panose="02020603050405020304" pitchFamily="18" charset="0"/>
            </a:rPr>
            <a:t>OPPORTUNITIES</a:t>
          </a:r>
        </a:p>
        <a:p>
          <a:r>
            <a:rPr lang="en-MY" sz="1200" b="1">
              <a:solidFill>
                <a:sysClr val="window" lastClr="FFFFFF"/>
              </a:solidFill>
              <a:latin typeface="Times New Roman" panose="02020603050405020304" pitchFamily="18" charset="0"/>
              <a:ea typeface="+mn-ea"/>
              <a:cs typeface="Times New Roman" panose="02020603050405020304" pitchFamily="18" charset="0"/>
            </a:rPr>
            <a:t>Mediation may become a Preferred Alternative Process for Resolving Islamic Finance Disputes</a:t>
          </a:r>
        </a:p>
        <a:p>
          <a:r>
            <a:rPr lang="en-MY" sz="1200" b="1">
              <a:solidFill>
                <a:sysClr val="window" lastClr="FFFFFF"/>
              </a:solidFill>
              <a:latin typeface="Times New Roman" panose="02020603050405020304" pitchFamily="18" charset="0"/>
              <a:ea typeface="+mn-ea"/>
              <a:cs typeface="Times New Roman" panose="02020603050405020304" pitchFamily="18" charset="0"/>
            </a:rPr>
            <a:t>Long and On-going Relationship may be Preserved</a:t>
          </a:r>
        </a:p>
        <a:p>
          <a:endParaRPr lang="en-MY" sz="800">
            <a:solidFill>
              <a:sysClr val="window" lastClr="FFFFFF"/>
            </a:solidFill>
            <a:latin typeface="Calibri"/>
            <a:ea typeface="+mn-ea"/>
            <a:cs typeface="+mn-cs"/>
          </a:endParaRPr>
        </a:p>
      </dgm:t>
    </dgm:pt>
    <dgm:pt modelId="{0DD14428-AFA7-4DEE-81C1-A082408DA367}" type="parTrans" cxnId="{E2754D8C-3506-4CD9-967F-4778BD56F833}">
      <dgm:prSet/>
      <dgm:spPr/>
      <dgm:t>
        <a:bodyPr/>
        <a:lstStyle/>
        <a:p>
          <a:endParaRPr lang="en-MY"/>
        </a:p>
      </dgm:t>
    </dgm:pt>
    <dgm:pt modelId="{49D920AA-DF09-4138-BAE0-7A4606AD1F2F}" type="sibTrans" cxnId="{E2754D8C-3506-4CD9-967F-4778BD56F833}">
      <dgm:prSet/>
      <dgm:spPr/>
      <dgm:t>
        <a:bodyPr/>
        <a:lstStyle/>
        <a:p>
          <a:endParaRPr lang="en-MY"/>
        </a:p>
      </dgm:t>
    </dgm:pt>
    <dgm:pt modelId="{430E7614-C7FD-40E5-9D3D-EC3477450C34}">
      <dgm:prSet phldrT="[Text]" custT="1"/>
      <dgm:spPr>
        <a:xfrm rot="5400000">
          <a:off x="3068052" y="2365408"/>
          <a:ext cx="2541069" cy="2892391"/>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MY" sz="1200" b="1">
              <a:solidFill>
                <a:sysClr val="windowText" lastClr="000000"/>
              </a:solidFill>
              <a:latin typeface="Times New Roman" panose="02020603050405020304" pitchFamily="18" charset="0"/>
              <a:ea typeface="+mn-ea"/>
              <a:cs typeface="Times New Roman" panose="02020603050405020304" pitchFamily="18" charset="0"/>
            </a:rPr>
            <a:t>THREATS</a:t>
          </a:r>
        </a:p>
        <a:p>
          <a:r>
            <a:rPr lang="en-MY" sz="1200" b="1">
              <a:solidFill>
                <a:sysClr val="window" lastClr="FFFFFF"/>
              </a:solidFill>
              <a:latin typeface="Times New Roman" panose="02020603050405020304" pitchFamily="18" charset="0"/>
              <a:ea typeface="+mn-ea"/>
              <a:cs typeface="Times New Roman" panose="02020603050405020304" pitchFamily="18" charset="0"/>
            </a:rPr>
            <a:t>Lawyers are Resistant to Mediation</a:t>
          </a:r>
        </a:p>
        <a:p>
          <a:r>
            <a:rPr lang="en-MY" sz="1200" b="1">
              <a:solidFill>
                <a:sysClr val="window" lastClr="FFFFFF"/>
              </a:solidFill>
              <a:latin typeface="Times New Roman" panose="02020603050405020304" pitchFamily="18" charset="0"/>
              <a:ea typeface="+mn-ea"/>
              <a:cs typeface="Times New Roman" panose="02020603050405020304" pitchFamily="18" charset="0"/>
            </a:rPr>
            <a:t>Legalism is brought into the Mediation Process by Lawyers who have Dominated the Process</a:t>
          </a:r>
        </a:p>
        <a:p>
          <a:r>
            <a:rPr lang="en-MY" sz="1200" b="1">
              <a:solidFill>
                <a:sysClr val="window" lastClr="FFFFFF"/>
              </a:solidFill>
              <a:latin typeface="Times New Roman" panose="02020603050405020304" pitchFamily="18" charset="0"/>
              <a:ea typeface="+mn-ea"/>
              <a:cs typeface="Times New Roman" panose="02020603050405020304" pitchFamily="18" charset="0"/>
            </a:rPr>
            <a:t>There is Requirement for Impartiality in the Act</a:t>
          </a:r>
        </a:p>
        <a:p>
          <a:r>
            <a:rPr lang="en-MY" sz="1200" b="1">
              <a:solidFill>
                <a:sysClr val="window" lastClr="FFFFFF"/>
              </a:solidFill>
              <a:latin typeface="Times New Roman" panose="02020603050405020304" pitchFamily="18" charset="0"/>
              <a:ea typeface="+mn-ea"/>
              <a:cs typeface="Times New Roman" panose="02020603050405020304" pitchFamily="18" charset="0"/>
            </a:rPr>
            <a:t>Confidentiality is not Guaranteed because of the Provisions of certain Laws.</a:t>
          </a:r>
        </a:p>
      </dgm:t>
    </dgm:pt>
    <dgm:pt modelId="{B6A1480D-271C-4A15-B327-AACAF72C5D26}" type="parTrans" cxnId="{F334D1D1-19A5-4BCA-8317-64F83A07A1EE}">
      <dgm:prSet/>
      <dgm:spPr/>
      <dgm:t>
        <a:bodyPr/>
        <a:lstStyle/>
        <a:p>
          <a:endParaRPr lang="en-MY"/>
        </a:p>
      </dgm:t>
    </dgm:pt>
    <dgm:pt modelId="{CD786583-1F51-4A70-80E0-0BA499E4E0CA}" type="sibTrans" cxnId="{F334D1D1-19A5-4BCA-8317-64F83A07A1EE}">
      <dgm:prSet/>
      <dgm:spPr/>
      <dgm:t>
        <a:bodyPr/>
        <a:lstStyle/>
        <a:p>
          <a:endParaRPr lang="en-MY"/>
        </a:p>
      </dgm:t>
    </dgm:pt>
    <dgm:pt modelId="{5B63919E-2699-4AFF-A8FC-F0A434763F93}" type="pres">
      <dgm:prSet presAssocID="{F8B69C4A-18DD-4DFC-9261-3DE63A4C9230}" presName="diagram" presStyleCnt="0">
        <dgm:presLayoutVars>
          <dgm:chMax val="1"/>
          <dgm:dir/>
          <dgm:animLvl val="ctr"/>
          <dgm:resizeHandles val="exact"/>
        </dgm:presLayoutVars>
      </dgm:prSet>
      <dgm:spPr/>
    </dgm:pt>
    <dgm:pt modelId="{FD122486-60CC-4F95-9DC1-6D76910C94C9}" type="pres">
      <dgm:prSet presAssocID="{F8B69C4A-18DD-4DFC-9261-3DE63A4C9230}" presName="matrix" presStyleCnt="0"/>
      <dgm:spPr/>
    </dgm:pt>
    <dgm:pt modelId="{4083366F-52BE-471E-BEC8-A5E3988E9D46}" type="pres">
      <dgm:prSet presAssocID="{F8B69C4A-18DD-4DFC-9261-3DE63A4C9230}" presName="tile1" presStyleLbl="node1" presStyleIdx="0" presStyleCnt="4"/>
      <dgm:spPr>
        <a:prstGeom prst="round1Rect">
          <a:avLst/>
        </a:prstGeom>
      </dgm:spPr>
    </dgm:pt>
    <dgm:pt modelId="{50DFB231-366F-4E20-A40E-C0D10C952A71}" type="pres">
      <dgm:prSet presAssocID="{F8B69C4A-18DD-4DFC-9261-3DE63A4C9230}" presName="tile1text" presStyleLbl="node1" presStyleIdx="0" presStyleCnt="4">
        <dgm:presLayoutVars>
          <dgm:chMax val="0"/>
          <dgm:chPref val="0"/>
          <dgm:bulletEnabled val="1"/>
        </dgm:presLayoutVars>
      </dgm:prSet>
      <dgm:spPr/>
    </dgm:pt>
    <dgm:pt modelId="{39C6BD60-BA1D-4291-BB18-6FFDE56C1669}" type="pres">
      <dgm:prSet presAssocID="{F8B69C4A-18DD-4DFC-9261-3DE63A4C9230}" presName="tile2" presStyleLbl="node1" presStyleIdx="1" presStyleCnt="4"/>
      <dgm:spPr>
        <a:prstGeom prst="round1Rect">
          <a:avLst/>
        </a:prstGeom>
      </dgm:spPr>
    </dgm:pt>
    <dgm:pt modelId="{A7DE4222-4D1D-4924-B43A-5DEAED31E12F}" type="pres">
      <dgm:prSet presAssocID="{F8B69C4A-18DD-4DFC-9261-3DE63A4C9230}" presName="tile2text" presStyleLbl="node1" presStyleIdx="1" presStyleCnt="4">
        <dgm:presLayoutVars>
          <dgm:chMax val="0"/>
          <dgm:chPref val="0"/>
          <dgm:bulletEnabled val="1"/>
        </dgm:presLayoutVars>
      </dgm:prSet>
      <dgm:spPr/>
    </dgm:pt>
    <dgm:pt modelId="{4407B8FA-B9FD-4E9E-B852-CE884C4AFFF2}" type="pres">
      <dgm:prSet presAssocID="{F8B69C4A-18DD-4DFC-9261-3DE63A4C9230}" presName="tile3" presStyleLbl="node1" presStyleIdx="2" presStyleCnt="4"/>
      <dgm:spPr>
        <a:prstGeom prst="round1Rect">
          <a:avLst/>
        </a:prstGeom>
      </dgm:spPr>
    </dgm:pt>
    <dgm:pt modelId="{D40C15CF-A211-4399-918F-AE85A9122FBA}" type="pres">
      <dgm:prSet presAssocID="{F8B69C4A-18DD-4DFC-9261-3DE63A4C9230}" presName="tile3text" presStyleLbl="node1" presStyleIdx="2" presStyleCnt="4">
        <dgm:presLayoutVars>
          <dgm:chMax val="0"/>
          <dgm:chPref val="0"/>
          <dgm:bulletEnabled val="1"/>
        </dgm:presLayoutVars>
      </dgm:prSet>
      <dgm:spPr/>
    </dgm:pt>
    <dgm:pt modelId="{75EAC7A2-B556-4DDC-A92F-F5A117553674}" type="pres">
      <dgm:prSet presAssocID="{F8B69C4A-18DD-4DFC-9261-3DE63A4C9230}" presName="tile4" presStyleLbl="node1" presStyleIdx="3" presStyleCnt="4"/>
      <dgm:spPr>
        <a:prstGeom prst="round1Rect">
          <a:avLst/>
        </a:prstGeom>
      </dgm:spPr>
    </dgm:pt>
    <dgm:pt modelId="{4A59A452-B526-4405-98B5-7CA8D1C8C5E6}" type="pres">
      <dgm:prSet presAssocID="{F8B69C4A-18DD-4DFC-9261-3DE63A4C9230}" presName="tile4text" presStyleLbl="node1" presStyleIdx="3" presStyleCnt="4">
        <dgm:presLayoutVars>
          <dgm:chMax val="0"/>
          <dgm:chPref val="0"/>
          <dgm:bulletEnabled val="1"/>
        </dgm:presLayoutVars>
      </dgm:prSet>
      <dgm:spPr/>
    </dgm:pt>
    <dgm:pt modelId="{A3A780A5-D4E0-48E7-BA5E-F724E50B4FC1}" type="pres">
      <dgm:prSet presAssocID="{F8B69C4A-18DD-4DFC-9261-3DE63A4C9230}" presName="centerTile" presStyleLbl="fgShp" presStyleIdx="0" presStyleCnt="1" custScaleX="101888" custScaleY="86389">
        <dgm:presLayoutVars>
          <dgm:chMax val="0"/>
          <dgm:chPref val="0"/>
        </dgm:presLayoutVars>
      </dgm:prSet>
      <dgm:spPr>
        <a:prstGeom prst="roundRect">
          <a:avLst/>
        </a:prstGeom>
      </dgm:spPr>
    </dgm:pt>
  </dgm:ptLst>
  <dgm:cxnLst>
    <dgm:cxn modelId="{1880C700-560B-4AA8-882A-FC2789A10958}" type="presOf" srcId="{D64525B4-8B6E-4593-8AC4-A3F248CF6AFB}" destId="{D40C15CF-A211-4399-918F-AE85A9122FBA}" srcOrd="1" destOrd="0" presId="urn:microsoft.com/office/officeart/2005/8/layout/matrix1"/>
    <dgm:cxn modelId="{74A7B921-71F2-4262-B33A-F2C4BBB0B361}" type="presOf" srcId="{430E7614-C7FD-40E5-9D3D-EC3477450C34}" destId="{4A59A452-B526-4405-98B5-7CA8D1C8C5E6}" srcOrd="1" destOrd="0" presId="urn:microsoft.com/office/officeart/2005/8/layout/matrix1"/>
    <dgm:cxn modelId="{4DF5685F-601A-49DE-A51B-560087BCA894}" type="presOf" srcId="{79D15ECE-7E1D-4D14-A044-6ECBE15C93A4}" destId="{50DFB231-366F-4E20-A40E-C0D10C952A71}" srcOrd="1" destOrd="0" presId="urn:microsoft.com/office/officeart/2005/8/layout/matrix1"/>
    <dgm:cxn modelId="{D84C8543-465F-489A-AF36-B9D72AAE261C}" srcId="{0A32C1A2-7E61-4259-9652-3F05E4E16042}" destId="{C2070D3E-339E-476A-B11A-9D49C330EF10}" srcOrd="1" destOrd="0" parTransId="{95F5880D-C883-47B3-BF67-8CBC69F58CF1}" sibTransId="{01A5C8C3-ACE0-4576-8135-DC81212371DB}"/>
    <dgm:cxn modelId="{EFD6A348-240C-4E00-BC9B-76E82F5E9C7D}" type="presOf" srcId="{430E7614-C7FD-40E5-9D3D-EC3477450C34}" destId="{75EAC7A2-B556-4DDC-A92F-F5A117553674}" srcOrd="0" destOrd="0" presId="urn:microsoft.com/office/officeart/2005/8/layout/matrix1"/>
    <dgm:cxn modelId="{B9882056-7273-46C1-83C4-45FF9553654D}" srcId="{0A32C1A2-7E61-4259-9652-3F05E4E16042}" destId="{79D15ECE-7E1D-4D14-A044-6ECBE15C93A4}" srcOrd="0" destOrd="0" parTransId="{C428D0F1-299A-4B23-84BF-235B741A276B}" sibTransId="{60DB12EC-3B44-41F2-AA0C-CE4B499EF8A0}"/>
    <dgm:cxn modelId="{5130AC7E-8FDC-46A3-B84E-E2E964C7443A}" srcId="{F8B69C4A-18DD-4DFC-9261-3DE63A4C9230}" destId="{0A32C1A2-7E61-4259-9652-3F05E4E16042}" srcOrd="0" destOrd="0" parTransId="{8FDE9A55-8471-439E-B8A1-1686284F86ED}" sibTransId="{91E7786A-EBED-4E2E-A579-D64E11512222}"/>
    <dgm:cxn modelId="{00D0FD87-C3F3-48DF-B85B-1A9DD6D3FDF6}" type="presOf" srcId="{D64525B4-8B6E-4593-8AC4-A3F248CF6AFB}" destId="{4407B8FA-B9FD-4E9E-B852-CE884C4AFFF2}" srcOrd="0" destOrd="0" presId="urn:microsoft.com/office/officeart/2005/8/layout/matrix1"/>
    <dgm:cxn modelId="{E2754D8C-3506-4CD9-967F-4778BD56F833}" srcId="{0A32C1A2-7E61-4259-9652-3F05E4E16042}" destId="{D64525B4-8B6E-4593-8AC4-A3F248CF6AFB}" srcOrd="2" destOrd="0" parTransId="{0DD14428-AFA7-4DEE-81C1-A082408DA367}" sibTransId="{49D920AA-DF09-4138-BAE0-7A4606AD1F2F}"/>
    <dgm:cxn modelId="{357B1DAA-447F-43DA-AB6A-9DB061BAF737}" type="presOf" srcId="{C2070D3E-339E-476A-B11A-9D49C330EF10}" destId="{39C6BD60-BA1D-4291-BB18-6FFDE56C1669}" srcOrd="0" destOrd="0" presId="urn:microsoft.com/office/officeart/2005/8/layout/matrix1"/>
    <dgm:cxn modelId="{88E884AA-4982-4CDF-8808-CFF718847D29}" type="presOf" srcId="{F8B69C4A-18DD-4DFC-9261-3DE63A4C9230}" destId="{5B63919E-2699-4AFF-A8FC-F0A434763F93}" srcOrd="0" destOrd="0" presId="urn:microsoft.com/office/officeart/2005/8/layout/matrix1"/>
    <dgm:cxn modelId="{B98FCDB6-C3E0-4AE5-AC7C-A330F3C81C69}" type="presOf" srcId="{79D15ECE-7E1D-4D14-A044-6ECBE15C93A4}" destId="{4083366F-52BE-471E-BEC8-A5E3988E9D46}" srcOrd="0" destOrd="0" presId="urn:microsoft.com/office/officeart/2005/8/layout/matrix1"/>
    <dgm:cxn modelId="{C340C3C1-E09F-4D5B-8D79-C829C7C64945}" type="presOf" srcId="{0A32C1A2-7E61-4259-9652-3F05E4E16042}" destId="{A3A780A5-D4E0-48E7-BA5E-F724E50B4FC1}" srcOrd="0" destOrd="0" presId="urn:microsoft.com/office/officeart/2005/8/layout/matrix1"/>
    <dgm:cxn modelId="{F334D1D1-19A5-4BCA-8317-64F83A07A1EE}" srcId="{0A32C1A2-7E61-4259-9652-3F05E4E16042}" destId="{430E7614-C7FD-40E5-9D3D-EC3477450C34}" srcOrd="3" destOrd="0" parTransId="{B6A1480D-271C-4A15-B327-AACAF72C5D26}" sibTransId="{CD786583-1F51-4A70-80E0-0BA499E4E0CA}"/>
    <dgm:cxn modelId="{200224DD-6793-4913-909C-46E24E9AA58C}" type="presOf" srcId="{C2070D3E-339E-476A-B11A-9D49C330EF10}" destId="{A7DE4222-4D1D-4924-B43A-5DEAED31E12F}" srcOrd="1" destOrd="0" presId="urn:microsoft.com/office/officeart/2005/8/layout/matrix1"/>
    <dgm:cxn modelId="{50933800-DB90-4AFA-935D-B57DF2C28079}" type="presParOf" srcId="{5B63919E-2699-4AFF-A8FC-F0A434763F93}" destId="{FD122486-60CC-4F95-9DC1-6D76910C94C9}" srcOrd="0" destOrd="0" presId="urn:microsoft.com/office/officeart/2005/8/layout/matrix1"/>
    <dgm:cxn modelId="{64A33995-4072-432A-B529-ACBF46ACAB7C}" type="presParOf" srcId="{FD122486-60CC-4F95-9DC1-6D76910C94C9}" destId="{4083366F-52BE-471E-BEC8-A5E3988E9D46}" srcOrd="0" destOrd="0" presId="urn:microsoft.com/office/officeart/2005/8/layout/matrix1"/>
    <dgm:cxn modelId="{5B0504B5-752D-491A-910C-EB7442AE0BA7}" type="presParOf" srcId="{FD122486-60CC-4F95-9DC1-6D76910C94C9}" destId="{50DFB231-366F-4E20-A40E-C0D10C952A71}" srcOrd="1" destOrd="0" presId="urn:microsoft.com/office/officeart/2005/8/layout/matrix1"/>
    <dgm:cxn modelId="{CCFA0F9C-D08A-4F7F-B34B-3F8FE188FCDA}" type="presParOf" srcId="{FD122486-60CC-4F95-9DC1-6D76910C94C9}" destId="{39C6BD60-BA1D-4291-BB18-6FFDE56C1669}" srcOrd="2" destOrd="0" presId="urn:microsoft.com/office/officeart/2005/8/layout/matrix1"/>
    <dgm:cxn modelId="{22C6AF4A-5A12-4CF5-BA10-DB503B902E2B}" type="presParOf" srcId="{FD122486-60CC-4F95-9DC1-6D76910C94C9}" destId="{A7DE4222-4D1D-4924-B43A-5DEAED31E12F}" srcOrd="3" destOrd="0" presId="urn:microsoft.com/office/officeart/2005/8/layout/matrix1"/>
    <dgm:cxn modelId="{17F68814-1CF7-4AC9-8CBC-D854213740B2}" type="presParOf" srcId="{FD122486-60CC-4F95-9DC1-6D76910C94C9}" destId="{4407B8FA-B9FD-4E9E-B852-CE884C4AFFF2}" srcOrd="4" destOrd="0" presId="urn:microsoft.com/office/officeart/2005/8/layout/matrix1"/>
    <dgm:cxn modelId="{40476C4F-AE9A-42A1-9B0E-E1EB775E837F}" type="presParOf" srcId="{FD122486-60CC-4F95-9DC1-6D76910C94C9}" destId="{D40C15CF-A211-4399-918F-AE85A9122FBA}" srcOrd="5" destOrd="0" presId="urn:microsoft.com/office/officeart/2005/8/layout/matrix1"/>
    <dgm:cxn modelId="{904F45C6-8766-4160-B8CC-CF15A7305071}" type="presParOf" srcId="{FD122486-60CC-4F95-9DC1-6D76910C94C9}" destId="{75EAC7A2-B556-4DDC-A92F-F5A117553674}" srcOrd="6" destOrd="0" presId="urn:microsoft.com/office/officeart/2005/8/layout/matrix1"/>
    <dgm:cxn modelId="{52B5EB91-6378-4ED9-9DD2-D80627759989}" type="presParOf" srcId="{FD122486-60CC-4F95-9DC1-6D76910C94C9}" destId="{4A59A452-B526-4405-98B5-7CA8D1C8C5E6}" srcOrd="7" destOrd="0" presId="urn:microsoft.com/office/officeart/2005/8/layout/matrix1"/>
    <dgm:cxn modelId="{B3AE7BB1-0265-4754-9911-256E42C5D0CC}" type="presParOf" srcId="{5B63919E-2699-4AFF-A8FC-F0A434763F93}" destId="{A3A780A5-D4E0-48E7-BA5E-F724E50B4FC1}" srcOrd="1" destOrd="0" presId="urn:microsoft.com/office/officeart/2005/8/layout/matrix1"/>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0910AA8-72A0-43FA-8ECC-B3814B2BE643}">
      <dsp:nvSpPr>
        <dsp:cNvPr id="0" name=""/>
        <dsp:cNvSpPr/>
      </dsp:nvSpPr>
      <dsp:spPr>
        <a:xfrm rot="16200000">
          <a:off x="341312" y="-336156"/>
          <a:ext cx="2062480" cy="2745105"/>
        </a:xfrm>
        <a:prstGeom prst="round1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MY" sz="1200" b="1" kern="1200">
              <a:solidFill>
                <a:sysClr val="windowText" lastClr="000000"/>
              </a:solidFill>
              <a:latin typeface="Times New Roman" panose="02020603050405020304" pitchFamily="18" charset="0"/>
              <a:ea typeface="+mn-ea"/>
              <a:cs typeface="Times New Roman" panose="02020603050405020304" pitchFamily="18" charset="0"/>
            </a:rPr>
            <a:t>STRENGTHS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Some Cases can only be Settled through a Court Process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It is Result Oriented</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Impartiality of Judges is Guaranteed</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Binding and Enforceable Settlement</a:t>
          </a:r>
        </a:p>
      </dsp:txBody>
      <dsp:txXfrm rot="5400000">
        <a:off x="0" y="5156"/>
        <a:ext cx="2745105" cy="1546860"/>
      </dsp:txXfrm>
    </dsp:sp>
    <dsp:sp modelId="{BE42DEA0-FC6F-48EF-AAF4-522A1F8C49C5}">
      <dsp:nvSpPr>
        <dsp:cNvPr id="0" name=""/>
        <dsp:cNvSpPr/>
      </dsp:nvSpPr>
      <dsp:spPr>
        <a:xfrm>
          <a:off x="2745105" y="-5156"/>
          <a:ext cx="2745105" cy="2083104"/>
        </a:xfrm>
        <a:prstGeom prst="round1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MY" sz="1200" b="1" kern="1200">
              <a:solidFill>
                <a:sysClr val="windowText" lastClr="000000"/>
              </a:solidFill>
              <a:latin typeface="Times New Roman" panose="02020603050405020304" pitchFamily="18" charset="0"/>
              <a:ea typeface="+mn-ea"/>
              <a:cs typeface="Times New Roman" panose="02020603050405020304" pitchFamily="18" charset="0"/>
            </a:rPr>
            <a:t>WEAKNESSES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Lack of Expert Judges in The Courts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Delay in Resolving Disputes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Cost of Litigation</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Concentration of Powers in the Judges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Adversarial/Cumbersome Procedure</a:t>
          </a:r>
        </a:p>
      </dsp:txBody>
      <dsp:txXfrm>
        <a:off x="2745105" y="-5156"/>
        <a:ext cx="2745105" cy="1562328"/>
      </dsp:txXfrm>
    </dsp:sp>
    <dsp:sp modelId="{BA68E7D8-8C52-4BEB-B5BE-49398281BAA7}">
      <dsp:nvSpPr>
        <dsp:cNvPr id="0" name=""/>
        <dsp:cNvSpPr/>
      </dsp:nvSpPr>
      <dsp:spPr>
        <a:xfrm rot="10800000">
          <a:off x="0" y="2067636"/>
          <a:ext cx="2745105" cy="2062480"/>
        </a:xfrm>
        <a:prstGeom prst="round1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MY" sz="1200" b="1" kern="1200">
              <a:solidFill>
                <a:sysClr val="windowText" lastClr="000000"/>
              </a:solidFill>
              <a:latin typeface="Times New Roman" panose="02020603050405020304" pitchFamily="18" charset="0"/>
              <a:ea typeface="+mn-ea"/>
              <a:cs typeface="Times New Roman" panose="02020603050405020304" pitchFamily="18" charset="0"/>
            </a:rPr>
            <a:t>OPPORTUNITY</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Enforcement of the Settlement made in ADR Processes</a:t>
          </a:r>
        </a:p>
      </dsp:txBody>
      <dsp:txXfrm rot="10800000">
        <a:off x="0" y="2583256"/>
        <a:ext cx="2745105" cy="1546860"/>
      </dsp:txXfrm>
    </dsp:sp>
    <dsp:sp modelId="{571518EB-7F12-48F4-B1E6-BEC5B6FC19B9}">
      <dsp:nvSpPr>
        <dsp:cNvPr id="0" name=""/>
        <dsp:cNvSpPr/>
      </dsp:nvSpPr>
      <dsp:spPr>
        <a:xfrm rot="5400000">
          <a:off x="3086417" y="1726323"/>
          <a:ext cx="2062480" cy="2745105"/>
        </a:xfrm>
        <a:prstGeom prst="round1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MY" sz="1200" b="1" kern="1200">
              <a:solidFill>
                <a:sysClr val="windowText" lastClr="000000"/>
              </a:solidFill>
              <a:latin typeface="Times New Roman" panose="02020603050405020304" pitchFamily="18" charset="0"/>
              <a:ea typeface="+mn-ea"/>
              <a:cs typeface="Times New Roman" panose="02020603050405020304" pitchFamily="18" charset="0"/>
            </a:rPr>
            <a:t>THREAT</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Civil Trained Judges Decide Islamic Banking Disputes</a:t>
          </a:r>
        </a:p>
      </dsp:txBody>
      <dsp:txXfrm rot="-5400000">
        <a:off x="2745105" y="2583255"/>
        <a:ext cx="2745105" cy="1546860"/>
      </dsp:txXfrm>
    </dsp:sp>
    <dsp:sp modelId="{CA5947BC-CC30-4552-B1A9-DF141971BC1D}">
      <dsp:nvSpPr>
        <dsp:cNvPr id="0" name=""/>
        <dsp:cNvSpPr/>
      </dsp:nvSpPr>
      <dsp:spPr>
        <a:xfrm>
          <a:off x="1921573" y="1546860"/>
          <a:ext cx="1647063" cy="1031240"/>
        </a:xfrm>
        <a:prstGeom prst="roundRect">
          <a:avLst/>
        </a:prstGeom>
        <a:solidFill>
          <a:srgbClr val="4F81BD">
            <a:tint val="60000"/>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MY" sz="1200" b="1" kern="1200">
              <a:solidFill>
                <a:sysClr val="windowText" lastClr="000000"/>
              </a:solidFill>
              <a:latin typeface="Times New Roman" panose="02020603050405020304" pitchFamily="18" charset="0"/>
              <a:ea typeface="+mn-ea"/>
              <a:cs typeface="Times New Roman" panose="02020603050405020304" pitchFamily="18" charset="0"/>
            </a:rPr>
            <a:t>COURT PROCESS</a:t>
          </a:r>
        </a:p>
      </dsp:txBody>
      <dsp:txXfrm>
        <a:off x="1971914" y="1597201"/>
        <a:ext cx="1546381" cy="93055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B6736FE-2330-42FC-ADFD-80C48098A829}">
      <dsp:nvSpPr>
        <dsp:cNvPr id="0" name=""/>
        <dsp:cNvSpPr/>
      </dsp:nvSpPr>
      <dsp:spPr>
        <a:xfrm rot="16200000">
          <a:off x="153193" y="-153193"/>
          <a:ext cx="2567622" cy="2874010"/>
        </a:xfrm>
        <a:prstGeom prst="round1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endParaRPr lang="en-MY" sz="1400" b="1" kern="1200">
            <a:solidFill>
              <a:srgbClr val="C0504D"/>
            </a:solidFill>
            <a:latin typeface="Calibri"/>
            <a:ea typeface="+mn-ea"/>
            <a:cs typeface="+mn-cs"/>
          </a:endParaRPr>
        </a:p>
        <a:p>
          <a:pPr marL="0" lvl="0" indent="0" algn="ctr" defTabSz="622300">
            <a:lnSpc>
              <a:spcPct val="90000"/>
            </a:lnSpc>
            <a:spcBef>
              <a:spcPct val="0"/>
            </a:spcBef>
            <a:spcAft>
              <a:spcPct val="35000"/>
            </a:spcAft>
            <a:buNone/>
          </a:pPr>
          <a:r>
            <a:rPr lang="en-MY" sz="1200" b="1" kern="1200">
              <a:solidFill>
                <a:sysClr val="windowText" lastClr="000000"/>
              </a:solidFill>
              <a:latin typeface="Times New Roman" panose="02020603050405020304" pitchFamily="18" charset="0"/>
              <a:ea typeface="+mn-ea"/>
              <a:cs typeface="Times New Roman" panose="02020603050405020304" pitchFamily="18" charset="0"/>
            </a:rPr>
            <a:t>STRENGTHS</a:t>
          </a:r>
        </a:p>
        <a:p>
          <a:pPr marL="0" lvl="0" indent="0" algn="ctr" defTabSz="6223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Speedy and Efficient Resolution of Disputes</a:t>
          </a:r>
        </a:p>
        <a:p>
          <a:pPr marL="0" lvl="0" indent="0" algn="ctr" defTabSz="6223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Avenue for Appleal is Limited</a:t>
          </a:r>
        </a:p>
        <a:p>
          <a:pPr marL="0" lvl="0" indent="0" algn="ctr" defTabSz="6223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Awards are Enforceable</a:t>
          </a:r>
        </a:p>
        <a:p>
          <a:pPr marL="0" lvl="0" indent="0" algn="ctr" defTabSz="6223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Arbitrators can be Experts in Islmaic Banking</a:t>
          </a:r>
        </a:p>
        <a:p>
          <a:pPr marL="0" lvl="0" indent="0" algn="ctr" defTabSz="6223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The Process is Flexible, Adaptable and Predictable</a:t>
          </a:r>
        </a:p>
        <a:p>
          <a:pPr marL="0" lvl="0" indent="0" algn="ctr" defTabSz="6223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Confidentiality/Privacy of the Process</a:t>
          </a:r>
        </a:p>
        <a:p>
          <a:pPr marL="0" lvl="0" indent="0" algn="ctr" defTabSz="6223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There is Party-Participlation</a:t>
          </a:r>
        </a:p>
      </dsp:txBody>
      <dsp:txXfrm rot="5400000">
        <a:off x="-1" y="1"/>
        <a:ext cx="2874010" cy="1925716"/>
      </dsp:txXfrm>
    </dsp:sp>
    <dsp:sp modelId="{9ED7C165-4B20-47EA-A5CE-8750A7D60A2D}">
      <dsp:nvSpPr>
        <dsp:cNvPr id="0" name=""/>
        <dsp:cNvSpPr/>
      </dsp:nvSpPr>
      <dsp:spPr>
        <a:xfrm>
          <a:off x="2874010" y="0"/>
          <a:ext cx="2874010" cy="2567622"/>
        </a:xfrm>
        <a:prstGeom prst="round1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endParaRPr lang="en-MY" sz="1400" b="1" kern="1200">
            <a:solidFill>
              <a:srgbClr val="C0504D"/>
            </a:solidFill>
            <a:latin typeface="Calibri"/>
            <a:ea typeface="+mn-ea"/>
            <a:cs typeface="+mn-cs"/>
          </a:endParaRPr>
        </a:p>
        <a:p>
          <a:pPr marL="0" lvl="0" indent="0" algn="ctr" defTabSz="622300">
            <a:lnSpc>
              <a:spcPct val="90000"/>
            </a:lnSpc>
            <a:spcBef>
              <a:spcPct val="0"/>
            </a:spcBef>
            <a:spcAft>
              <a:spcPct val="35000"/>
            </a:spcAft>
            <a:buNone/>
          </a:pPr>
          <a:r>
            <a:rPr lang="en-MY" sz="1200" b="1" kern="1200">
              <a:solidFill>
                <a:sysClr val="windowText" lastClr="000000"/>
              </a:solidFill>
              <a:latin typeface="Times New Roman" panose="02020603050405020304" pitchFamily="18" charset="0"/>
              <a:ea typeface="+mn-ea"/>
              <a:cs typeface="Times New Roman" panose="02020603050405020304" pitchFamily="18" charset="0"/>
            </a:rPr>
            <a:t>WEAKNESSES</a:t>
          </a:r>
        </a:p>
        <a:p>
          <a:pPr marL="0" lvl="0" indent="0" algn="ctr" defTabSz="6223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Quite Expensive</a:t>
          </a:r>
        </a:p>
        <a:p>
          <a:pPr marL="0" lvl="0" indent="0" algn="ctr" defTabSz="6223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Not always fast</a:t>
          </a:r>
        </a:p>
        <a:p>
          <a:pPr marL="0" lvl="0" indent="0" algn="ctr" defTabSz="6223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No longer informal</a:t>
          </a:r>
        </a:p>
        <a:p>
          <a:pPr marL="0" lvl="0" indent="0" algn="ctr" defTabSz="6223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Courts-Intervention</a:t>
          </a:r>
        </a:p>
        <a:p>
          <a:pPr marL="0" lvl="0" indent="0" algn="ctr" defTabSz="6223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Over Lawyering</a:t>
          </a:r>
        </a:p>
        <a:p>
          <a:pPr marL="0" lvl="0" indent="0" algn="ctr" defTabSz="6223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Arbitrators cannot act as Amiable Compositiuer</a:t>
          </a:r>
        </a:p>
      </dsp:txBody>
      <dsp:txXfrm>
        <a:off x="2874010" y="0"/>
        <a:ext cx="2874010" cy="1925716"/>
      </dsp:txXfrm>
    </dsp:sp>
    <dsp:sp modelId="{20E50E7D-5E63-4ACC-8A53-8A52030832D0}">
      <dsp:nvSpPr>
        <dsp:cNvPr id="0" name=""/>
        <dsp:cNvSpPr/>
      </dsp:nvSpPr>
      <dsp:spPr>
        <a:xfrm rot="10800000">
          <a:off x="0" y="2567622"/>
          <a:ext cx="2874010" cy="2567622"/>
        </a:xfrm>
        <a:prstGeom prst="round1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MY" sz="1200" b="1" kern="1200">
              <a:solidFill>
                <a:sysClr val="windowText" lastClr="000000"/>
              </a:solidFill>
              <a:latin typeface="Times New Roman" panose="02020603050405020304" pitchFamily="18" charset="0"/>
              <a:ea typeface="+mn-ea"/>
              <a:cs typeface="Times New Roman" panose="02020603050405020304" pitchFamily="18" charset="0"/>
            </a:rPr>
            <a:t>OPPORTUNITIES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Can be Consolidated with other Processes</a:t>
          </a:r>
        </a:p>
      </dsp:txBody>
      <dsp:txXfrm rot="10800000">
        <a:off x="0" y="3209528"/>
        <a:ext cx="2874010" cy="1925716"/>
      </dsp:txXfrm>
    </dsp:sp>
    <dsp:sp modelId="{36E2BA55-52FC-41F7-9FF1-93423D269F3B}">
      <dsp:nvSpPr>
        <dsp:cNvPr id="0" name=""/>
        <dsp:cNvSpPr/>
      </dsp:nvSpPr>
      <dsp:spPr>
        <a:xfrm rot="5400000">
          <a:off x="3027203" y="2414428"/>
          <a:ext cx="2567622" cy="2874010"/>
        </a:xfrm>
        <a:prstGeom prst="round1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MY" sz="1200" b="1" kern="1200">
              <a:solidFill>
                <a:sysClr val="windowText" lastClr="000000"/>
              </a:solidFill>
              <a:latin typeface="Times New Roman" panose="02020603050405020304" pitchFamily="18" charset="0"/>
              <a:ea typeface="+mn-ea"/>
              <a:cs typeface="Times New Roman" panose="02020603050405020304" pitchFamily="18" charset="0"/>
            </a:rPr>
            <a:t>THREATS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Arbitration Clauses  are not Properly Drafted</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Increasing Cost</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Attempt to Avoid Arbitration by Parties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Limitations on Discovery Proceedings</a:t>
          </a:r>
        </a:p>
      </dsp:txBody>
      <dsp:txXfrm rot="-5400000">
        <a:off x="2874009" y="3209528"/>
        <a:ext cx="2874010" cy="1925716"/>
      </dsp:txXfrm>
    </dsp:sp>
    <dsp:sp modelId="{D363A1B3-B8BE-49C3-BAB0-B6F03A53309A}">
      <dsp:nvSpPr>
        <dsp:cNvPr id="0" name=""/>
        <dsp:cNvSpPr/>
      </dsp:nvSpPr>
      <dsp:spPr>
        <a:xfrm>
          <a:off x="2011806" y="2202192"/>
          <a:ext cx="1724406" cy="730860"/>
        </a:xfrm>
        <a:prstGeom prst="roundRect">
          <a:avLst/>
        </a:prstGeom>
        <a:solidFill>
          <a:srgbClr val="4F81BD">
            <a:tint val="60000"/>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rtl="0">
            <a:lnSpc>
              <a:spcPct val="90000"/>
            </a:lnSpc>
            <a:spcBef>
              <a:spcPct val="0"/>
            </a:spcBef>
            <a:spcAft>
              <a:spcPct val="35000"/>
            </a:spcAft>
            <a:buNone/>
          </a:pPr>
          <a:r>
            <a:rPr lang="en-MY" sz="1100" b="1" kern="1200">
              <a:solidFill>
                <a:sysClr val="windowText" lastClr="000000"/>
              </a:solidFill>
              <a:latin typeface="Times New Roman" panose="02020603050405020304" pitchFamily="18" charset="0"/>
              <a:ea typeface="+mn-ea"/>
              <a:cs typeface="Times New Roman" panose="02020603050405020304" pitchFamily="18" charset="0"/>
            </a:rPr>
            <a:t>ARBITRATION</a:t>
          </a:r>
        </a:p>
      </dsp:txBody>
      <dsp:txXfrm>
        <a:off x="2047484" y="2237870"/>
        <a:ext cx="1653050" cy="65950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BAFE822-2659-4AAB-AC2E-FDBE0F72CD95}">
      <dsp:nvSpPr>
        <dsp:cNvPr id="0" name=""/>
        <dsp:cNvSpPr/>
      </dsp:nvSpPr>
      <dsp:spPr>
        <a:xfrm rot="16200000">
          <a:off x="385286" y="-385286"/>
          <a:ext cx="1971675" cy="2742247"/>
        </a:xfrm>
        <a:prstGeom prst="round1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MY" sz="1200" b="1" kern="1200">
              <a:solidFill>
                <a:sysClr val="windowText" lastClr="000000"/>
              </a:solidFill>
              <a:latin typeface="Times New Roman" panose="02020603050405020304" pitchFamily="18" charset="0"/>
              <a:ea typeface="+mn-ea"/>
              <a:cs typeface="Times New Roman" panose="02020603050405020304" pitchFamily="18" charset="0"/>
            </a:rPr>
            <a:t>STRENGTHS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Settlement is Recorded as Consent Judgement</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Result-oriented Process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All Issues can be Settled</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Cost is Reduced</a:t>
          </a:r>
        </a:p>
      </dsp:txBody>
      <dsp:txXfrm rot="5400000">
        <a:off x="0" y="0"/>
        <a:ext cx="2742247" cy="1478756"/>
      </dsp:txXfrm>
    </dsp:sp>
    <dsp:sp modelId="{B6F3E4BA-81E8-4074-8BD7-C3CA8148593E}">
      <dsp:nvSpPr>
        <dsp:cNvPr id="0" name=""/>
        <dsp:cNvSpPr/>
      </dsp:nvSpPr>
      <dsp:spPr>
        <a:xfrm>
          <a:off x="2742247" y="0"/>
          <a:ext cx="2742247" cy="1971675"/>
        </a:xfrm>
        <a:prstGeom prst="round1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MY" sz="1200" b="1" kern="1200">
              <a:solidFill>
                <a:sysClr val="windowText" lastClr="000000"/>
              </a:solidFill>
              <a:latin typeface="Times New Roman" panose="02020603050405020304" pitchFamily="18" charset="0"/>
              <a:ea typeface="+mn-ea"/>
              <a:cs typeface="Times New Roman" panose="02020603050405020304" pitchFamily="18" charset="0"/>
            </a:rPr>
            <a:t>WEAKNESSES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Judges are the Mediators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Parties can Frustrate the Process</a:t>
          </a:r>
        </a:p>
      </dsp:txBody>
      <dsp:txXfrm>
        <a:off x="2742247" y="0"/>
        <a:ext cx="2742247" cy="1478756"/>
      </dsp:txXfrm>
    </dsp:sp>
    <dsp:sp modelId="{8B8A81EE-F04F-42EB-B6CD-FFB78E4DBE75}">
      <dsp:nvSpPr>
        <dsp:cNvPr id="0" name=""/>
        <dsp:cNvSpPr/>
      </dsp:nvSpPr>
      <dsp:spPr>
        <a:xfrm rot="10800000">
          <a:off x="0" y="1971675"/>
          <a:ext cx="2742247" cy="1971675"/>
        </a:xfrm>
        <a:prstGeom prst="round1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MY" sz="1200" b="1" kern="1200">
              <a:solidFill>
                <a:sysClr val="windowText" lastClr="000000"/>
              </a:solidFill>
              <a:latin typeface="Times New Roman" panose="02020603050405020304" pitchFamily="18" charset="0"/>
              <a:ea typeface="+mn-ea"/>
              <a:cs typeface="Times New Roman" panose="02020603050405020304" pitchFamily="18" charset="0"/>
            </a:rPr>
            <a:t>OPPORTUNITIES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Solves the issue of Backlog of cases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Speedy Trial of Disputes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Preserves the On-going Relationship between the Parties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Parties become less litigous</a:t>
          </a:r>
        </a:p>
      </dsp:txBody>
      <dsp:txXfrm rot="10800000">
        <a:off x="0" y="2464593"/>
        <a:ext cx="2742247" cy="1478756"/>
      </dsp:txXfrm>
    </dsp:sp>
    <dsp:sp modelId="{DA822082-1F42-4169-8481-2DDE1D832EC3}">
      <dsp:nvSpPr>
        <dsp:cNvPr id="0" name=""/>
        <dsp:cNvSpPr/>
      </dsp:nvSpPr>
      <dsp:spPr>
        <a:xfrm rot="5400000">
          <a:off x="3127533" y="1586388"/>
          <a:ext cx="1971675" cy="2742247"/>
        </a:xfrm>
        <a:prstGeom prst="round1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MY" sz="1200" b="1" kern="1200">
              <a:solidFill>
                <a:sysClr val="windowText" lastClr="000000"/>
              </a:solidFill>
              <a:latin typeface="Times New Roman" panose="02020603050405020304" pitchFamily="18" charset="0"/>
              <a:ea typeface="+mn-ea"/>
              <a:cs typeface="Times New Roman" panose="02020603050405020304" pitchFamily="18" charset="0"/>
            </a:rPr>
            <a:t>THREATS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Fear of Loss of Income by Lawyers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Parties may not agree to Mediate</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May amount to Abdiction of the Function of the Court</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Judge is the Mediator</a:t>
          </a:r>
        </a:p>
      </dsp:txBody>
      <dsp:txXfrm rot="-5400000">
        <a:off x="2742248" y="2464593"/>
        <a:ext cx="2742247" cy="1478756"/>
      </dsp:txXfrm>
    </dsp:sp>
    <dsp:sp modelId="{0AABBCB7-2305-462F-894D-47B1873DB033}">
      <dsp:nvSpPr>
        <dsp:cNvPr id="0" name=""/>
        <dsp:cNvSpPr/>
      </dsp:nvSpPr>
      <dsp:spPr>
        <a:xfrm>
          <a:off x="1919573" y="1478756"/>
          <a:ext cx="1645348" cy="985837"/>
        </a:xfrm>
        <a:prstGeom prst="roundRect">
          <a:avLst/>
        </a:prstGeom>
        <a:solidFill>
          <a:srgbClr val="4F81BD">
            <a:tint val="60000"/>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MY" sz="1100" b="1" kern="1200">
              <a:solidFill>
                <a:sysClr val="windowText" lastClr="000000"/>
              </a:solidFill>
              <a:latin typeface="Times New Roman" panose="02020603050405020304" pitchFamily="18" charset="0"/>
              <a:ea typeface="+mn-ea"/>
              <a:cs typeface="Times New Roman" panose="02020603050405020304" pitchFamily="18" charset="0"/>
            </a:rPr>
            <a:t>COURT-ANNEXED</a:t>
          </a:r>
          <a:r>
            <a:rPr lang="en-MY" sz="1100" b="1" kern="1200" baseline="0">
              <a:solidFill>
                <a:sysClr val="windowText" lastClr="000000"/>
              </a:solidFill>
              <a:latin typeface="Times New Roman" panose="02020603050405020304" pitchFamily="18" charset="0"/>
              <a:ea typeface="+mn-ea"/>
              <a:cs typeface="Times New Roman" panose="02020603050405020304" pitchFamily="18" charset="0"/>
            </a:rPr>
            <a:t> MEDIATION</a:t>
          </a:r>
          <a:endParaRPr lang="en-MY" sz="1100" b="1"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1967698" y="1526881"/>
        <a:ext cx="1549098" cy="889587"/>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611C485-99FD-4484-BA00-922CA97A605C}">
      <dsp:nvSpPr>
        <dsp:cNvPr id="0" name=""/>
        <dsp:cNvSpPr/>
      </dsp:nvSpPr>
      <dsp:spPr>
        <a:xfrm rot="16200000">
          <a:off x="250031" y="-250031"/>
          <a:ext cx="2242185" cy="2742247"/>
        </a:xfrm>
        <a:prstGeom prst="round1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MY" sz="1200" b="1" kern="1200">
              <a:solidFill>
                <a:sysClr val="windowText" lastClr="000000"/>
              </a:solidFill>
              <a:latin typeface="Times New Roman" panose="02020603050405020304" pitchFamily="18" charset="0"/>
              <a:ea typeface="+mn-ea"/>
              <a:cs typeface="Times New Roman" panose="02020603050405020304" pitchFamily="18" charset="0"/>
            </a:rPr>
            <a:t>STRENGTHS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Cost Effective</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Efficient, Fast and Convenient</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Encourages Amicable Resolution of Dipsutes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Confidential and Private</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Result-Oriented</a:t>
          </a:r>
        </a:p>
      </dsp:txBody>
      <dsp:txXfrm rot="5400000">
        <a:off x="0" y="0"/>
        <a:ext cx="2742247" cy="1681638"/>
      </dsp:txXfrm>
    </dsp:sp>
    <dsp:sp modelId="{044246EB-72CB-4F41-A9CE-38260D5389FE}">
      <dsp:nvSpPr>
        <dsp:cNvPr id="0" name=""/>
        <dsp:cNvSpPr/>
      </dsp:nvSpPr>
      <dsp:spPr>
        <a:xfrm>
          <a:off x="2742247" y="0"/>
          <a:ext cx="2742247" cy="2242185"/>
        </a:xfrm>
        <a:prstGeom prst="round1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MY" sz="1200" b="1" kern="1200">
              <a:solidFill>
                <a:sysClr val="windowText" lastClr="000000"/>
              </a:solidFill>
              <a:latin typeface="Times New Roman" panose="02020603050405020304" pitchFamily="18" charset="0"/>
              <a:ea typeface="+mn-ea"/>
              <a:cs typeface="Times New Roman" panose="02020603050405020304" pitchFamily="18" charset="0"/>
            </a:rPr>
            <a:t>WEAKNESSES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Mediators may not be Experts in Islamic finance Principles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Decision is not Binding on the Customer</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FMB has Limited Jurisdiction</a:t>
          </a:r>
        </a:p>
      </dsp:txBody>
      <dsp:txXfrm>
        <a:off x="2742247" y="0"/>
        <a:ext cx="2742247" cy="1681638"/>
      </dsp:txXfrm>
    </dsp:sp>
    <dsp:sp modelId="{A5073407-CED2-43EB-BA27-F0FFF90DD7C6}">
      <dsp:nvSpPr>
        <dsp:cNvPr id="0" name=""/>
        <dsp:cNvSpPr/>
      </dsp:nvSpPr>
      <dsp:spPr>
        <a:xfrm rot="10800000">
          <a:off x="0" y="2242185"/>
          <a:ext cx="2742247" cy="2242185"/>
        </a:xfrm>
        <a:prstGeom prst="round1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MY" sz="1200" b="1" kern="1200">
              <a:solidFill>
                <a:sysClr val="windowText" lastClr="000000"/>
              </a:solidFill>
              <a:latin typeface="Times New Roman" panose="02020603050405020304" pitchFamily="18" charset="0"/>
              <a:ea typeface="+mn-ea"/>
              <a:cs typeface="Times New Roman" panose="02020603050405020304" pitchFamily="18" charset="0"/>
            </a:rPr>
            <a:t>OPPORTUNITIES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Customers need not Pay Fees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Lawyers are not Involved in the Process</a:t>
          </a:r>
        </a:p>
      </dsp:txBody>
      <dsp:txXfrm rot="10800000">
        <a:off x="0" y="2802731"/>
        <a:ext cx="2742247" cy="1681638"/>
      </dsp:txXfrm>
    </dsp:sp>
    <dsp:sp modelId="{F2602464-0665-43AE-B1D8-DB4924BD494C}">
      <dsp:nvSpPr>
        <dsp:cNvPr id="0" name=""/>
        <dsp:cNvSpPr/>
      </dsp:nvSpPr>
      <dsp:spPr>
        <a:xfrm rot="5400000">
          <a:off x="2992278" y="1992153"/>
          <a:ext cx="2242185" cy="2742247"/>
        </a:xfrm>
        <a:prstGeom prst="round1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MY" sz="1200" b="1" kern="1200">
              <a:solidFill>
                <a:sysClr val="windowText" lastClr="000000"/>
              </a:solidFill>
              <a:latin typeface="Times New Roman" panose="02020603050405020304" pitchFamily="18" charset="0"/>
              <a:ea typeface="+mn-ea"/>
              <a:cs typeface="Times New Roman" panose="02020603050405020304" pitchFamily="18" charset="0"/>
            </a:rPr>
            <a:t>THREATS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FSP are Bound by the Decision of the mediators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Independence of the Mediators is not Guaranteed</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Disputes are based on Experience and may Cause Delay.</a:t>
          </a:r>
        </a:p>
      </dsp:txBody>
      <dsp:txXfrm rot="-5400000">
        <a:off x="2742247" y="2802730"/>
        <a:ext cx="2742247" cy="1681638"/>
      </dsp:txXfrm>
    </dsp:sp>
    <dsp:sp modelId="{9479EEDA-25FE-4EC0-9E8A-B093995BFF1E}">
      <dsp:nvSpPr>
        <dsp:cNvPr id="0" name=""/>
        <dsp:cNvSpPr/>
      </dsp:nvSpPr>
      <dsp:spPr>
        <a:xfrm>
          <a:off x="1651990" y="1847980"/>
          <a:ext cx="2180514" cy="788408"/>
        </a:xfrm>
        <a:prstGeom prst="roundRect">
          <a:avLst/>
        </a:prstGeom>
        <a:solidFill>
          <a:srgbClr val="4F81BD">
            <a:tint val="60000"/>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MY" sz="1100" b="1" kern="1200">
              <a:solidFill>
                <a:sysClr val="windowText" lastClr="000000"/>
              </a:solidFill>
              <a:latin typeface="Times New Roman" panose="02020603050405020304" pitchFamily="18" charset="0"/>
              <a:ea typeface="+mn-ea"/>
              <a:cs typeface="Times New Roman" panose="02020603050405020304" pitchFamily="18" charset="0"/>
            </a:rPr>
            <a:t>MEDIATION/ADJUDICATION</a:t>
          </a:r>
        </a:p>
      </dsp:txBody>
      <dsp:txXfrm>
        <a:off x="1690477" y="1886467"/>
        <a:ext cx="2103540" cy="711434"/>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083366F-52BE-471E-BEC8-A5E3988E9D46}">
      <dsp:nvSpPr>
        <dsp:cNvPr id="0" name=""/>
        <dsp:cNvSpPr/>
      </dsp:nvSpPr>
      <dsp:spPr>
        <a:xfrm rot="16200000">
          <a:off x="175101" y="-175101"/>
          <a:ext cx="2542540" cy="2892742"/>
        </a:xfrm>
        <a:prstGeom prst="round1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endParaRPr lang="en-MY" sz="1200" b="1" kern="1200">
            <a:solidFill>
              <a:sysClr val="window" lastClr="FFFFFF"/>
            </a:solidFill>
            <a:latin typeface="Calibri"/>
            <a:ea typeface="+mn-ea"/>
            <a:cs typeface="+mn-cs"/>
          </a:endParaRPr>
        </a:p>
        <a:p>
          <a:pPr marL="0" lvl="0" indent="0" algn="ctr" defTabSz="533400">
            <a:lnSpc>
              <a:spcPct val="90000"/>
            </a:lnSpc>
            <a:spcBef>
              <a:spcPct val="0"/>
            </a:spcBef>
            <a:spcAft>
              <a:spcPct val="35000"/>
            </a:spcAft>
            <a:buNone/>
          </a:pPr>
          <a:r>
            <a:rPr lang="en-MY" sz="1200" b="1" kern="1200">
              <a:solidFill>
                <a:sysClr val="windowText" lastClr="000000"/>
              </a:solidFill>
              <a:latin typeface="Times New Roman" panose="02020603050405020304" pitchFamily="18" charset="0"/>
              <a:ea typeface="+mn-ea"/>
              <a:cs typeface="Times New Roman" panose="02020603050405020304" pitchFamily="18" charset="0"/>
            </a:rPr>
            <a:t>STRENGTHS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Repairs, Improves and Mend Bruised Relationships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Time and Money-saving Advantage</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Non-Adversarial Procedure</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Professional and Accredited Panel of Mediators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No Need for Lawyers, Use of Legal Jargons and Legalese</a:t>
          </a:r>
        </a:p>
        <a:p>
          <a:pPr marL="0" lvl="0" indent="0" algn="ctr" defTabSz="533400">
            <a:lnSpc>
              <a:spcPct val="90000"/>
            </a:lnSpc>
            <a:spcBef>
              <a:spcPct val="0"/>
            </a:spcBef>
            <a:spcAft>
              <a:spcPct val="35000"/>
            </a:spcAft>
            <a:buNone/>
          </a:pPr>
          <a:endParaRPr lang="en-MY" sz="800" kern="1200">
            <a:solidFill>
              <a:sysClr val="window" lastClr="FFFFFF"/>
            </a:solidFill>
            <a:latin typeface="Calibri"/>
            <a:ea typeface="+mn-ea"/>
            <a:cs typeface="+mn-cs"/>
          </a:endParaRPr>
        </a:p>
      </dsp:txBody>
      <dsp:txXfrm rot="5400000">
        <a:off x="0" y="0"/>
        <a:ext cx="2892742" cy="1906905"/>
      </dsp:txXfrm>
    </dsp:sp>
    <dsp:sp modelId="{39C6BD60-BA1D-4291-BB18-6FFDE56C1669}">
      <dsp:nvSpPr>
        <dsp:cNvPr id="0" name=""/>
        <dsp:cNvSpPr/>
      </dsp:nvSpPr>
      <dsp:spPr>
        <a:xfrm>
          <a:off x="2892742" y="0"/>
          <a:ext cx="2892742" cy="2542540"/>
        </a:xfrm>
        <a:prstGeom prst="round1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MY" sz="1200" b="1" kern="1200">
              <a:solidFill>
                <a:sysClr val="windowText" lastClr="000000"/>
              </a:solidFill>
              <a:latin typeface="Times New Roman" panose="02020603050405020304" pitchFamily="18" charset="0"/>
              <a:ea typeface="+mn-ea"/>
              <a:cs typeface="Times New Roman" panose="02020603050405020304" pitchFamily="18" charset="0"/>
            </a:rPr>
            <a:t>WEAKNESSES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Counter-Productive Procedural Requirements of the Mediation Act</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Stringent and Rigourous Procedures</a:t>
          </a:r>
        </a:p>
      </dsp:txBody>
      <dsp:txXfrm>
        <a:off x="2892742" y="0"/>
        <a:ext cx="2892742" cy="1906905"/>
      </dsp:txXfrm>
    </dsp:sp>
    <dsp:sp modelId="{4407B8FA-B9FD-4E9E-B852-CE884C4AFFF2}">
      <dsp:nvSpPr>
        <dsp:cNvPr id="0" name=""/>
        <dsp:cNvSpPr/>
      </dsp:nvSpPr>
      <dsp:spPr>
        <a:xfrm rot="10800000">
          <a:off x="0" y="2542540"/>
          <a:ext cx="2892742" cy="2542540"/>
        </a:xfrm>
        <a:prstGeom prst="round1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MY" sz="1200" b="1" kern="1200">
              <a:solidFill>
                <a:sysClr val="windowText" lastClr="000000"/>
              </a:solidFill>
              <a:latin typeface="Times New Roman" panose="02020603050405020304" pitchFamily="18" charset="0"/>
              <a:ea typeface="+mn-ea"/>
              <a:cs typeface="Times New Roman" panose="02020603050405020304" pitchFamily="18" charset="0"/>
            </a:rPr>
            <a:t>OPPORTUNITIES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Mediation may become a Preferred Alternative Process for Resolving Islamic Finance Disputes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Long and On-going Relationship may be Preserved</a:t>
          </a:r>
        </a:p>
        <a:p>
          <a:pPr marL="0" lvl="0" indent="0" algn="ctr" defTabSz="533400">
            <a:lnSpc>
              <a:spcPct val="90000"/>
            </a:lnSpc>
            <a:spcBef>
              <a:spcPct val="0"/>
            </a:spcBef>
            <a:spcAft>
              <a:spcPct val="35000"/>
            </a:spcAft>
            <a:buNone/>
          </a:pPr>
          <a:endParaRPr lang="en-MY" sz="800" kern="1200">
            <a:solidFill>
              <a:sysClr val="window" lastClr="FFFFFF"/>
            </a:solidFill>
            <a:latin typeface="Calibri"/>
            <a:ea typeface="+mn-ea"/>
            <a:cs typeface="+mn-cs"/>
          </a:endParaRPr>
        </a:p>
      </dsp:txBody>
      <dsp:txXfrm rot="10800000">
        <a:off x="0" y="3178174"/>
        <a:ext cx="2892742" cy="1906905"/>
      </dsp:txXfrm>
    </dsp:sp>
    <dsp:sp modelId="{75EAC7A2-B556-4DDC-A92F-F5A117553674}">
      <dsp:nvSpPr>
        <dsp:cNvPr id="0" name=""/>
        <dsp:cNvSpPr/>
      </dsp:nvSpPr>
      <dsp:spPr>
        <a:xfrm rot="5400000">
          <a:off x="3067843" y="2367438"/>
          <a:ext cx="2542540" cy="2892742"/>
        </a:xfrm>
        <a:prstGeom prst="round1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MY" sz="1200" b="1" kern="1200">
              <a:solidFill>
                <a:sysClr val="windowText" lastClr="000000"/>
              </a:solidFill>
              <a:latin typeface="Times New Roman" panose="02020603050405020304" pitchFamily="18" charset="0"/>
              <a:ea typeface="+mn-ea"/>
              <a:cs typeface="Times New Roman" panose="02020603050405020304" pitchFamily="18" charset="0"/>
            </a:rPr>
            <a:t>THREATS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Lawyers are Resistant to Mediation</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Legalism is brought into the Mediation Process by Lawyers who have Dominated the Process</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There is Requirement for Impartiality in the Act</a:t>
          </a:r>
        </a:p>
        <a:p>
          <a:pPr marL="0" lvl="0" indent="0" algn="ctr" defTabSz="533400">
            <a:lnSpc>
              <a:spcPct val="90000"/>
            </a:lnSpc>
            <a:spcBef>
              <a:spcPct val="0"/>
            </a:spcBef>
            <a:spcAft>
              <a:spcPct val="35000"/>
            </a:spcAft>
            <a:buNone/>
          </a:pPr>
          <a:r>
            <a:rPr lang="en-MY" sz="1200" b="1" kern="1200">
              <a:solidFill>
                <a:sysClr val="window" lastClr="FFFFFF"/>
              </a:solidFill>
              <a:latin typeface="Times New Roman" panose="02020603050405020304" pitchFamily="18" charset="0"/>
              <a:ea typeface="+mn-ea"/>
              <a:cs typeface="Times New Roman" panose="02020603050405020304" pitchFamily="18" charset="0"/>
            </a:rPr>
            <a:t>Confidentiality is not Guaranteed because of the Provisions of certain Laws.</a:t>
          </a:r>
        </a:p>
      </dsp:txBody>
      <dsp:txXfrm rot="-5400000">
        <a:off x="2892743" y="3178174"/>
        <a:ext cx="2892742" cy="1906905"/>
      </dsp:txXfrm>
    </dsp:sp>
    <dsp:sp modelId="{A3A780A5-D4E0-48E7-BA5E-F724E50B4FC1}">
      <dsp:nvSpPr>
        <dsp:cNvPr id="0" name=""/>
        <dsp:cNvSpPr/>
      </dsp:nvSpPr>
      <dsp:spPr>
        <a:xfrm>
          <a:off x="2008535" y="1993421"/>
          <a:ext cx="1768414" cy="1098237"/>
        </a:xfrm>
        <a:prstGeom prst="roundRect">
          <a:avLst/>
        </a:prstGeom>
        <a:solidFill>
          <a:srgbClr val="4F81BD">
            <a:tint val="60000"/>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MY" sz="1200" b="1" kern="1200">
              <a:solidFill>
                <a:sysClr val="windowText" lastClr="000000"/>
              </a:solidFill>
              <a:latin typeface="Times New Roman" panose="02020603050405020304" pitchFamily="18" charset="0"/>
              <a:ea typeface="+mn-ea"/>
              <a:cs typeface="Times New Roman" panose="02020603050405020304" pitchFamily="18" charset="0"/>
            </a:rPr>
            <a:t>MEDIATION</a:t>
          </a:r>
        </a:p>
      </dsp:txBody>
      <dsp:txXfrm>
        <a:off x="2062147" y="2047033"/>
        <a:ext cx="1661190" cy="991013"/>
      </dsp:txXfrm>
    </dsp:sp>
  </dsp:spTree>
</dsp:drawing>
</file>

<file path=word/diagrams/layout1.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layout2.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layout3.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layout4.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layout5.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30</Pages>
  <Words>9486</Words>
  <Characters>48478</Characters>
  <Application>Microsoft Office Word</Application>
  <DocSecurity>0</DocSecurity>
  <Lines>757</Lines>
  <Paragraphs>136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dc:creator>
  <cp:keywords/>
  <dc:description/>
  <cp:lastModifiedBy>Aishat Zubair</cp:lastModifiedBy>
  <cp:revision>2</cp:revision>
  <dcterms:created xsi:type="dcterms:W3CDTF">2023-08-15T15:55:00Z</dcterms:created>
  <dcterms:modified xsi:type="dcterms:W3CDTF">2023-08-15T15:55:00Z</dcterms:modified>
</cp:coreProperties>
</file>