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75D267" w14:textId="5B46CBCE" w:rsidR="0020043D" w:rsidRPr="00482FCC" w:rsidRDefault="0020043D" w:rsidP="003661BB">
      <w:pPr>
        <w:spacing w:line="360" w:lineRule="auto"/>
        <w:jc w:val="center"/>
        <w:rPr>
          <w:rFonts w:ascii="Times New Roman" w:hAnsi="Times New Roman" w:cs="Times New Roman"/>
          <w:b/>
          <w:bCs/>
        </w:rPr>
      </w:pPr>
      <w:r w:rsidRPr="00482FCC">
        <w:rPr>
          <w:rFonts w:ascii="Times New Roman" w:hAnsi="Times New Roman" w:cs="Times New Roman"/>
          <w:b/>
          <w:bCs/>
        </w:rPr>
        <w:t>Green packaging and consumer willingness to pay</w:t>
      </w:r>
      <w:r w:rsidR="003C29CB" w:rsidRPr="00482FCC">
        <w:rPr>
          <w:rFonts w:ascii="Times New Roman" w:hAnsi="Times New Roman" w:cs="Times New Roman"/>
          <w:b/>
          <w:bCs/>
        </w:rPr>
        <w:t xml:space="preserve"> </w:t>
      </w:r>
      <w:r w:rsidR="00C927AF" w:rsidRPr="00482FCC">
        <w:rPr>
          <w:rFonts w:ascii="Times New Roman" w:hAnsi="Times New Roman" w:cs="Times New Roman"/>
          <w:b/>
          <w:bCs/>
        </w:rPr>
        <w:t xml:space="preserve">the </w:t>
      </w:r>
      <w:r w:rsidRPr="00482FCC">
        <w:rPr>
          <w:rFonts w:ascii="Times New Roman" w:hAnsi="Times New Roman" w:cs="Times New Roman"/>
          <w:b/>
          <w:bCs/>
        </w:rPr>
        <w:t xml:space="preserve">premium on </w:t>
      </w:r>
      <w:r w:rsidR="003C29CB" w:rsidRPr="00482FCC">
        <w:rPr>
          <w:rFonts w:ascii="Times New Roman" w:hAnsi="Times New Roman" w:cs="Times New Roman"/>
          <w:b/>
          <w:bCs/>
        </w:rPr>
        <w:t>Coca-Cola Company product</w:t>
      </w:r>
      <w:r w:rsidR="0035149A" w:rsidRPr="00482FCC">
        <w:rPr>
          <w:rFonts w:ascii="Times New Roman" w:hAnsi="Times New Roman" w:cs="Times New Roman"/>
          <w:b/>
          <w:bCs/>
        </w:rPr>
        <w:t>s</w:t>
      </w:r>
      <w:r w:rsidR="003C29CB" w:rsidRPr="00482FCC">
        <w:rPr>
          <w:rFonts w:ascii="Times New Roman" w:hAnsi="Times New Roman" w:cs="Times New Roman"/>
          <w:b/>
          <w:bCs/>
        </w:rPr>
        <w:t xml:space="preserve"> </w:t>
      </w:r>
      <w:r w:rsidRPr="00482FCC">
        <w:rPr>
          <w:rFonts w:ascii="Times New Roman" w:hAnsi="Times New Roman" w:cs="Times New Roman"/>
          <w:b/>
          <w:bCs/>
        </w:rPr>
        <w:t>in Kwara state.</w:t>
      </w:r>
    </w:p>
    <w:p w14:paraId="532BD743" w14:textId="77777777" w:rsidR="00153180" w:rsidRPr="00482FCC" w:rsidRDefault="00153180" w:rsidP="003661BB">
      <w:pPr>
        <w:spacing w:line="360" w:lineRule="auto"/>
        <w:jc w:val="center"/>
        <w:rPr>
          <w:rFonts w:ascii="Times New Roman" w:hAnsi="Times New Roman" w:cs="Times New Roman"/>
          <w:b/>
        </w:rPr>
      </w:pPr>
      <w:r w:rsidRPr="00482FCC">
        <w:rPr>
          <w:rFonts w:ascii="Times New Roman" w:hAnsi="Times New Roman" w:cs="Times New Roman"/>
          <w:b/>
        </w:rPr>
        <w:t>Zekeri ABU (Ph.D.)</w:t>
      </w:r>
    </w:p>
    <w:p w14:paraId="53EDFC1B" w14:textId="70BA7A61" w:rsidR="00153180" w:rsidRPr="00482FCC" w:rsidRDefault="00153180" w:rsidP="003661BB">
      <w:pPr>
        <w:spacing w:line="360" w:lineRule="auto"/>
        <w:jc w:val="center"/>
        <w:rPr>
          <w:rFonts w:ascii="Times New Roman" w:hAnsi="Times New Roman" w:cs="Times New Roman"/>
        </w:rPr>
      </w:pPr>
      <w:r w:rsidRPr="00482FCC">
        <w:rPr>
          <w:rFonts w:ascii="Times New Roman" w:hAnsi="Times New Roman" w:cs="Times New Roman"/>
        </w:rPr>
        <w:t xml:space="preserve">Department of Business and Entrepreneurship, Faculty of Management </w:t>
      </w:r>
      <w:r w:rsidR="0019049C" w:rsidRPr="00482FCC">
        <w:rPr>
          <w:rFonts w:ascii="Times New Roman" w:hAnsi="Times New Roman" w:cs="Times New Roman"/>
        </w:rPr>
        <w:t xml:space="preserve">and Social </w:t>
      </w:r>
      <w:r w:rsidRPr="00482FCC">
        <w:rPr>
          <w:rFonts w:ascii="Times New Roman" w:hAnsi="Times New Roman" w:cs="Times New Roman"/>
        </w:rPr>
        <w:t>Sciences,</w:t>
      </w:r>
    </w:p>
    <w:p w14:paraId="6BED7EAF" w14:textId="77777777" w:rsidR="00153180" w:rsidRPr="00482FCC" w:rsidRDefault="00153180" w:rsidP="003661BB">
      <w:pPr>
        <w:spacing w:line="360" w:lineRule="auto"/>
        <w:jc w:val="center"/>
        <w:rPr>
          <w:rFonts w:ascii="Times New Roman" w:hAnsi="Times New Roman" w:cs="Times New Roman"/>
        </w:rPr>
      </w:pPr>
      <w:r w:rsidRPr="00482FCC">
        <w:rPr>
          <w:rFonts w:ascii="Times New Roman" w:hAnsi="Times New Roman" w:cs="Times New Roman"/>
        </w:rPr>
        <w:t>Kwara State University, Malete, Nigeria.</w:t>
      </w:r>
    </w:p>
    <w:p w14:paraId="1121E87A" w14:textId="77777777" w:rsidR="00153180" w:rsidRPr="00482FCC" w:rsidRDefault="00153180" w:rsidP="003661BB">
      <w:pPr>
        <w:spacing w:line="360" w:lineRule="auto"/>
        <w:jc w:val="center"/>
        <w:rPr>
          <w:rFonts w:ascii="Times New Roman" w:hAnsi="Times New Roman" w:cs="Times New Roman"/>
        </w:rPr>
      </w:pPr>
      <w:r w:rsidRPr="00482FCC">
        <w:rPr>
          <w:rFonts w:ascii="Times New Roman" w:hAnsi="Times New Roman" w:cs="Times New Roman"/>
        </w:rPr>
        <w:t xml:space="preserve">Email: </w:t>
      </w:r>
      <w:hyperlink r:id="rId5" w:history="1">
        <w:r w:rsidRPr="00482FCC">
          <w:rPr>
            <w:rStyle w:val="Hyperlink"/>
            <w:rFonts w:ascii="Times New Roman" w:hAnsi="Times New Roman" w:cs="Times New Roman"/>
          </w:rPr>
          <w:t>zekeriabu2007@yahoo.com</w:t>
        </w:r>
      </w:hyperlink>
    </w:p>
    <w:p w14:paraId="66851D6C" w14:textId="77777777" w:rsidR="00153180" w:rsidRPr="00482FCC" w:rsidRDefault="00153180" w:rsidP="003661BB">
      <w:pPr>
        <w:spacing w:line="360" w:lineRule="auto"/>
        <w:jc w:val="center"/>
        <w:rPr>
          <w:rFonts w:ascii="Times New Roman" w:hAnsi="Times New Roman" w:cs="Times New Roman"/>
          <w:b/>
          <w:bCs/>
        </w:rPr>
      </w:pPr>
      <w:r w:rsidRPr="00482FCC">
        <w:rPr>
          <w:rFonts w:ascii="Times New Roman" w:hAnsi="Times New Roman" w:cs="Times New Roman"/>
          <w:b/>
          <w:bCs/>
        </w:rPr>
        <w:t>Yinusa Bello ONIBOKI</w:t>
      </w:r>
    </w:p>
    <w:p w14:paraId="1BC69FF0" w14:textId="4DAA2B42" w:rsidR="00153180" w:rsidRPr="00482FCC" w:rsidRDefault="00153180" w:rsidP="003661BB">
      <w:pPr>
        <w:spacing w:line="360" w:lineRule="auto"/>
        <w:jc w:val="center"/>
        <w:rPr>
          <w:rFonts w:ascii="Times New Roman" w:hAnsi="Times New Roman" w:cs="Times New Roman"/>
        </w:rPr>
      </w:pPr>
      <w:r w:rsidRPr="00482FCC">
        <w:rPr>
          <w:rFonts w:ascii="Times New Roman" w:hAnsi="Times New Roman" w:cs="Times New Roman"/>
        </w:rPr>
        <w:t xml:space="preserve">Department of Business and Entrepreneurship, Faculty of Management </w:t>
      </w:r>
      <w:r w:rsidR="0019049C" w:rsidRPr="00482FCC">
        <w:rPr>
          <w:rFonts w:ascii="Times New Roman" w:hAnsi="Times New Roman" w:cs="Times New Roman"/>
        </w:rPr>
        <w:t xml:space="preserve">and Social </w:t>
      </w:r>
      <w:r w:rsidRPr="00482FCC">
        <w:rPr>
          <w:rFonts w:ascii="Times New Roman" w:hAnsi="Times New Roman" w:cs="Times New Roman"/>
        </w:rPr>
        <w:t>Sciences,</w:t>
      </w:r>
    </w:p>
    <w:p w14:paraId="2DF27CA6" w14:textId="77777777" w:rsidR="00153180" w:rsidRPr="00482FCC" w:rsidRDefault="00153180" w:rsidP="003661BB">
      <w:pPr>
        <w:spacing w:line="360" w:lineRule="auto"/>
        <w:jc w:val="center"/>
        <w:rPr>
          <w:rFonts w:ascii="Times New Roman" w:hAnsi="Times New Roman" w:cs="Times New Roman"/>
        </w:rPr>
      </w:pPr>
      <w:r w:rsidRPr="00482FCC">
        <w:rPr>
          <w:rFonts w:ascii="Times New Roman" w:hAnsi="Times New Roman" w:cs="Times New Roman"/>
        </w:rPr>
        <w:t>Kwara State University, Malete, Nigeria.</w:t>
      </w:r>
    </w:p>
    <w:p w14:paraId="0D7EC3D7" w14:textId="77777777" w:rsidR="00153180" w:rsidRPr="00482FCC" w:rsidRDefault="00153180" w:rsidP="003661BB">
      <w:pPr>
        <w:spacing w:line="360" w:lineRule="auto"/>
        <w:jc w:val="center"/>
        <w:rPr>
          <w:rFonts w:ascii="Times New Roman" w:hAnsi="Times New Roman" w:cs="Times New Roman"/>
          <w:b/>
          <w:bCs/>
        </w:rPr>
      </w:pPr>
    </w:p>
    <w:p w14:paraId="6E63B88E" w14:textId="620657A4" w:rsidR="00100BA5" w:rsidRPr="00482FCC" w:rsidRDefault="00100BA5" w:rsidP="003661BB">
      <w:pPr>
        <w:spacing w:line="360" w:lineRule="auto"/>
        <w:jc w:val="both"/>
        <w:rPr>
          <w:rFonts w:ascii="Times New Roman" w:hAnsi="Times New Roman" w:cs="Times New Roman"/>
          <w:b/>
          <w:bCs/>
        </w:rPr>
      </w:pPr>
      <w:r w:rsidRPr="00482FCC">
        <w:rPr>
          <w:rFonts w:ascii="Times New Roman" w:hAnsi="Times New Roman" w:cs="Times New Roman"/>
          <w:b/>
          <w:bCs/>
        </w:rPr>
        <w:t xml:space="preserve">Abstract </w:t>
      </w:r>
    </w:p>
    <w:p w14:paraId="7537C6F4" w14:textId="67341A32" w:rsidR="00C927AF" w:rsidRPr="00482FCC" w:rsidRDefault="004513D7" w:rsidP="003661BB">
      <w:pPr>
        <w:spacing w:line="360" w:lineRule="auto"/>
        <w:jc w:val="both"/>
        <w:rPr>
          <w:rFonts w:ascii="Times New Roman" w:hAnsi="Times New Roman" w:cs="Times New Roman"/>
          <w:i/>
          <w:iCs/>
        </w:rPr>
      </w:pPr>
      <w:r>
        <w:rPr>
          <w:rFonts w:ascii="Times New Roman" w:hAnsi="Times New Roman" w:cs="Times New Roman"/>
          <w:i/>
          <w:iCs/>
        </w:rPr>
        <w:t>Sustainability has become a crucial issue for consumers, policymakers, and businesses. With the rise of environmental vanguardism, companies face increasing pressure to reduce their ecological footprint, particularly through sustainable packaging. This study examines consumers' willingness to pay</w:t>
      </w:r>
      <w:r w:rsidR="00A60BD8">
        <w:rPr>
          <w:rFonts w:ascii="Times New Roman" w:hAnsi="Times New Roman" w:cs="Times New Roman"/>
          <w:i/>
          <w:iCs/>
        </w:rPr>
        <w:t xml:space="preserve"> the</w:t>
      </w:r>
      <w:r>
        <w:rPr>
          <w:rFonts w:ascii="Times New Roman" w:hAnsi="Times New Roman" w:cs="Times New Roman"/>
          <w:i/>
          <w:iCs/>
        </w:rPr>
        <w:t xml:space="preserve"> premium for green packaged products in Kwara State, Nigeria, using the Theory of Planned Behaviour (TPB) framework. The research investigates how environmental labelling, reusable packaging, and product safety influence consumer attitudes and purchasing propensity. A stratified random sampling technique was employed to select respondents from the population, involving 384 participants in the study. Data for this research were collected via a self-structured questionnaire to gather key variables addressing the study’s objectives. Structural equation modelling was primarily used for data analysis. The results showed that environmental labelling positively affects consumer willingness and is statistically significant (p &lt; 0.05), although the effect is not particularly strong. While packaging reusability is expected to impact customer willingness negatively, this effect is not statistically significant (p &gt; 0.05). In contrast, product safety exhibits very high positive and statistically significant results; specifically, it significantly influences consumer willingness (p &lt; 0.001), making it a key factor. The study indicates that consumers will likely choose environmentally friendly products if they perceive them as safe and clearly labelled with environmental information. The research recommends that companies explore ways to enhance </w:t>
      </w:r>
      <w:r>
        <w:rPr>
          <w:rFonts w:ascii="Times New Roman" w:hAnsi="Times New Roman" w:cs="Times New Roman"/>
          <w:i/>
          <w:iCs/>
        </w:rPr>
        <w:lastRenderedPageBreak/>
        <w:t>the convenience of reusable packaging, making it more accessible. This could involve providing easy return systems or incentivising recycling efforts.</w:t>
      </w:r>
    </w:p>
    <w:p w14:paraId="14D959E2" w14:textId="593F8756" w:rsidR="00100BA5" w:rsidRPr="00482FCC" w:rsidRDefault="00757BC6" w:rsidP="003661BB">
      <w:pPr>
        <w:spacing w:line="360" w:lineRule="auto"/>
        <w:jc w:val="both"/>
        <w:rPr>
          <w:rFonts w:ascii="Times New Roman" w:hAnsi="Times New Roman" w:cs="Times New Roman"/>
        </w:rPr>
      </w:pPr>
      <w:r w:rsidRPr="00482FCC">
        <w:rPr>
          <w:rFonts w:ascii="Times New Roman" w:hAnsi="Times New Roman" w:cs="Times New Roman"/>
          <w:b/>
          <w:bCs/>
        </w:rPr>
        <w:t>Keywords:</w:t>
      </w:r>
      <w:r w:rsidR="007213BD" w:rsidRPr="00482FCC">
        <w:rPr>
          <w:rFonts w:ascii="Times New Roman" w:hAnsi="Times New Roman" w:cs="Times New Roman"/>
        </w:rPr>
        <w:t xml:space="preserve"> </w:t>
      </w:r>
      <w:r w:rsidRPr="00482FCC">
        <w:rPr>
          <w:rFonts w:ascii="Times New Roman" w:hAnsi="Times New Roman" w:cs="Times New Roman"/>
        </w:rPr>
        <w:t xml:space="preserve">Green Packaging, </w:t>
      </w:r>
      <w:r w:rsidR="007213BD" w:rsidRPr="00482FCC">
        <w:rPr>
          <w:rFonts w:ascii="Times New Roman" w:hAnsi="Times New Roman" w:cs="Times New Roman"/>
        </w:rPr>
        <w:t xml:space="preserve">Environmental </w:t>
      </w:r>
      <w:r w:rsidR="002C25CE" w:rsidRPr="00482FCC">
        <w:rPr>
          <w:rFonts w:ascii="Times New Roman" w:hAnsi="Times New Roman" w:cs="Times New Roman"/>
        </w:rPr>
        <w:t>Labelling</w:t>
      </w:r>
      <w:r w:rsidR="007213BD" w:rsidRPr="00482FCC">
        <w:rPr>
          <w:rFonts w:ascii="Times New Roman" w:hAnsi="Times New Roman" w:cs="Times New Roman"/>
        </w:rPr>
        <w:t>, Reusability, Product Safety.</w:t>
      </w:r>
    </w:p>
    <w:p w14:paraId="0C623392" w14:textId="77777777" w:rsidR="00B32EB2" w:rsidRPr="00482FCC" w:rsidRDefault="00B32EB2" w:rsidP="003661BB">
      <w:pPr>
        <w:spacing w:line="360" w:lineRule="auto"/>
        <w:jc w:val="both"/>
        <w:rPr>
          <w:rFonts w:ascii="Times New Roman" w:hAnsi="Times New Roman" w:cs="Times New Roman"/>
        </w:rPr>
      </w:pPr>
    </w:p>
    <w:p w14:paraId="33319E90" w14:textId="678C8F24" w:rsidR="0027741C" w:rsidRPr="00482FCC" w:rsidRDefault="005152A0" w:rsidP="003661BB">
      <w:pPr>
        <w:spacing w:line="360" w:lineRule="auto"/>
        <w:jc w:val="both"/>
        <w:rPr>
          <w:rFonts w:ascii="Times New Roman" w:hAnsi="Times New Roman" w:cs="Times New Roman"/>
          <w:b/>
          <w:bCs/>
        </w:rPr>
      </w:pPr>
      <w:r w:rsidRPr="00482FCC">
        <w:rPr>
          <w:rFonts w:ascii="Times New Roman" w:hAnsi="Times New Roman" w:cs="Times New Roman"/>
          <w:b/>
          <w:bCs/>
        </w:rPr>
        <w:t>INTRODUCTION</w:t>
      </w:r>
    </w:p>
    <w:p w14:paraId="1187367F" w14:textId="657CC70B" w:rsidR="00C927AF" w:rsidRPr="00482FCC" w:rsidRDefault="00867C74" w:rsidP="003661BB">
      <w:pPr>
        <w:spacing w:line="360" w:lineRule="auto"/>
        <w:jc w:val="both"/>
        <w:rPr>
          <w:rFonts w:ascii="Times New Roman" w:hAnsi="Times New Roman" w:cs="Times New Roman"/>
        </w:rPr>
      </w:pPr>
      <w:r>
        <w:rPr>
          <w:rFonts w:ascii="Times New Roman" w:hAnsi="Times New Roman" w:cs="Times New Roman"/>
        </w:rPr>
        <w:t>In recent years, sustainability has become a pressing issue for consumers, policymakers, and businesses. Increased awareness of environmental issues, primarily through sustainable packaging, is creating mounting pressure on companies to reduce their ecological footprint. Materials used for packaging that are recyclable, biodegradable, and reusable have been identified as crucial for controlling environmental impacts (Shaikh &amp; Shaikh, 2024). Reusing plant-based plastics, compostable films, and containers is often the most significant way to minimise waste and contamination in this context. Under this shift, consumers now pay attention not only to reusing products but also to safety and reliable environmental labelling (Versino et al., 2023). Packaging significantly influences consumer preferences, especially for the younger generation, who are highly mindful of the environment. Elements such as design, shape, labelling, and size are crucial when choosing a brand, making packaging an essential marketing tool. According to Simmonds and Spence (2017), providing a visual and informational platform through packaging helps consumers identify the best products in their class. As noted by Grandi and Cardinali (2025), poor packaging often suggests low-quality products, particularly in consumer-oriented environments like supermarkets, where packaging serves as a substitute for personal sales.</w:t>
      </w:r>
    </w:p>
    <w:p w14:paraId="0B426741" w14:textId="35B18EBC" w:rsidR="00C927AF" w:rsidRPr="00482FCC" w:rsidRDefault="008A1476" w:rsidP="003661BB">
      <w:pPr>
        <w:spacing w:line="360" w:lineRule="auto"/>
        <w:jc w:val="both"/>
        <w:rPr>
          <w:rFonts w:ascii="Times New Roman" w:hAnsi="Times New Roman" w:cs="Times New Roman"/>
        </w:rPr>
      </w:pPr>
      <w:r w:rsidRPr="00482FCC">
        <w:rPr>
          <w:rFonts w:ascii="Times New Roman" w:hAnsi="Times New Roman" w:cs="Times New Roman"/>
        </w:rPr>
        <w:t xml:space="preserve">Environmental conservation has gained momentum due to increasing concerns about the depletion of natural resources and environmental pressures from the accumulation of non-degradable waste (Gabriel et al., 2024). Packaging waste, in particular, has been </w:t>
      </w:r>
      <w:r w:rsidR="00DC43D7" w:rsidRPr="00482FCC">
        <w:rPr>
          <w:rFonts w:ascii="Times New Roman" w:hAnsi="Times New Roman" w:cs="Times New Roman"/>
        </w:rPr>
        <w:t>criticised</w:t>
      </w:r>
      <w:r w:rsidRPr="00482FCC">
        <w:rPr>
          <w:rFonts w:ascii="Times New Roman" w:hAnsi="Times New Roman" w:cs="Times New Roman"/>
        </w:rPr>
        <w:t xml:space="preserve"> for </w:t>
      </w:r>
      <w:r w:rsidR="00DC43D7" w:rsidRPr="00482FCC">
        <w:rPr>
          <w:rFonts w:ascii="Times New Roman" w:hAnsi="Times New Roman" w:cs="Times New Roman"/>
        </w:rPr>
        <w:t>contributing</w:t>
      </w:r>
      <w:r w:rsidRPr="00482FCC">
        <w:rPr>
          <w:rFonts w:ascii="Times New Roman" w:hAnsi="Times New Roman" w:cs="Times New Roman"/>
        </w:rPr>
        <w:t xml:space="preserve"> to solid, liquid, and gaseous pollution while spreading pathogens (Shaikh &amp; Shaikh, 2024). Although issues related to excessive packaging and improper recyclability have been partially addressed, a significant amount of packaging waste continues to litter land and sea; for instance, Europe contributes 40% of rainwater by weight to landfills (Gabriel et al., 2024).</w:t>
      </w:r>
    </w:p>
    <w:p w14:paraId="0E8B7498" w14:textId="1FC06624" w:rsidR="00C927AF" w:rsidRPr="00482FCC" w:rsidRDefault="00033E04" w:rsidP="003661BB">
      <w:pPr>
        <w:spacing w:line="360" w:lineRule="auto"/>
        <w:jc w:val="both"/>
        <w:rPr>
          <w:rFonts w:ascii="Times New Roman" w:hAnsi="Times New Roman" w:cs="Times New Roman"/>
        </w:rPr>
      </w:pPr>
      <w:r>
        <w:rPr>
          <w:rFonts w:ascii="Times New Roman" w:hAnsi="Times New Roman" w:cs="Times New Roman"/>
        </w:rPr>
        <w:t xml:space="preserve">Consumers have become more environmentally aware of their purchasing habits, aligning with the global “green revolution” movement. Many people are prepared to change their </w:t>
      </w:r>
      <w:r>
        <w:rPr>
          <w:rFonts w:ascii="Times New Roman" w:hAnsi="Times New Roman" w:cs="Times New Roman"/>
        </w:rPr>
        <w:lastRenderedPageBreak/>
        <w:t>consumption practices for environmentally sustainable products, making green packaging one of the essential issues in consumer life choices (Rampalli et al., 2023). This shift has necessitated a review of business packaging decisions, and green packaging has emerged as a key marketing strategy, particularly in industries such as food and beverages.</w:t>
      </w:r>
    </w:p>
    <w:p w14:paraId="17049183" w14:textId="55BA7CDC" w:rsidR="00C927AF" w:rsidRPr="00482FCC" w:rsidRDefault="00EE5AA9" w:rsidP="003661BB">
      <w:pPr>
        <w:spacing w:line="360" w:lineRule="auto"/>
        <w:jc w:val="both"/>
        <w:rPr>
          <w:rFonts w:ascii="Times New Roman" w:hAnsi="Times New Roman" w:cs="Times New Roman"/>
        </w:rPr>
      </w:pPr>
      <w:r w:rsidRPr="00482FCC">
        <w:rPr>
          <w:rFonts w:ascii="Times New Roman" w:hAnsi="Times New Roman" w:cs="Times New Roman"/>
        </w:rPr>
        <w:t>Coca-Cola, one of the major beverage companies in the world with a strong presence in Kwara State, Nigeria, plans to make its packaging more sustainable. Initiatives are increasing the recyclability of bottles and promoting reusable packaging. However, eco-friendly packaging incurs higher production costs, presenting a strategic dilemma: invest in sustainability, potentially at the expense of losing price competitiveness, or continue with traditional methods at the cost of environmental impact (Tana &amp; Chai, 2023).</w:t>
      </w:r>
    </w:p>
    <w:p w14:paraId="254EFB19" w14:textId="7CF9C876" w:rsidR="00C927AF" w:rsidRPr="00482FCC" w:rsidRDefault="00EE5AA9" w:rsidP="003661BB">
      <w:pPr>
        <w:spacing w:line="360" w:lineRule="auto"/>
        <w:jc w:val="both"/>
        <w:rPr>
          <w:rFonts w:ascii="Times New Roman" w:hAnsi="Times New Roman" w:cs="Times New Roman"/>
        </w:rPr>
      </w:pPr>
      <w:r w:rsidRPr="00482FCC">
        <w:rPr>
          <w:rFonts w:ascii="Times New Roman" w:hAnsi="Times New Roman" w:cs="Times New Roman"/>
        </w:rPr>
        <w:t xml:space="preserve">Although Coca-Cola is pursuing a sustainable initiative, there is limited empirical information on whether consumers in Kwara State are willing to pay extra for green packaging. This ambiguity hinders broader investment in viable alternatives. </w:t>
      </w:r>
      <w:r w:rsidR="000B0C2D" w:rsidRPr="00482FCC">
        <w:rPr>
          <w:rFonts w:ascii="Times New Roman" w:hAnsi="Times New Roman" w:cs="Times New Roman"/>
        </w:rPr>
        <w:t>Packaging</w:t>
      </w:r>
      <w:r w:rsidRPr="00482FCC">
        <w:rPr>
          <w:rFonts w:ascii="Times New Roman" w:hAnsi="Times New Roman" w:cs="Times New Roman"/>
        </w:rPr>
        <w:t xml:space="preserve"> reusability, perceived safety, and environmental labelling remain under-researched in the Nigerian market. Given the challenges related to regional waste management, the necessity for adequate packaging solutions that are both efficient and environmentally friendly is clear.</w:t>
      </w:r>
    </w:p>
    <w:p w14:paraId="323F3F43" w14:textId="143CDCE1" w:rsidR="00DC7A79" w:rsidRPr="00482FCC" w:rsidRDefault="00E951DF" w:rsidP="003661BB">
      <w:pPr>
        <w:spacing w:line="360" w:lineRule="auto"/>
        <w:jc w:val="both"/>
        <w:rPr>
          <w:rFonts w:ascii="Times New Roman" w:hAnsi="Times New Roman" w:cs="Times New Roman"/>
        </w:rPr>
      </w:pPr>
      <w:r>
        <w:rPr>
          <w:rFonts w:ascii="Times New Roman" w:hAnsi="Times New Roman" w:cs="Times New Roman"/>
        </w:rPr>
        <w:t xml:space="preserve">The study's primary objective is to assess consumer willingness to pay </w:t>
      </w:r>
      <w:r w:rsidR="007B664D">
        <w:rPr>
          <w:rFonts w:ascii="Times New Roman" w:hAnsi="Times New Roman" w:cs="Times New Roman"/>
        </w:rPr>
        <w:t>the</w:t>
      </w:r>
      <w:r>
        <w:rPr>
          <w:rFonts w:ascii="Times New Roman" w:hAnsi="Times New Roman" w:cs="Times New Roman"/>
        </w:rPr>
        <w:t xml:space="preserve"> premium for Coca-Cola products packaged in green in Kwara State. It will examine the impacts of sustainability attributes on consumer willingness, such as packaging reusability, product safety, and environmental labelling. Moreover, it will analyse how demographic factors affect consumer preferences. This research aims to develop data-driven recommendations that enable companies like Coca-Cola to create packaging solutions that account for environmental requirements and adapt to the changing demands of consumers while promoting green marketing goals, responsible consumption, and sensible waste reduction. Considering this premise, the following issues will be discussed as part of the research:</w:t>
      </w:r>
    </w:p>
    <w:p w14:paraId="1CFBF72B" w14:textId="5561912B" w:rsidR="00DC7A79" w:rsidRPr="00482FCC" w:rsidRDefault="00C02F9E" w:rsidP="003661BB">
      <w:pPr>
        <w:pStyle w:val="ListParagraph"/>
        <w:numPr>
          <w:ilvl w:val="0"/>
          <w:numId w:val="25"/>
        </w:numPr>
        <w:spacing w:line="360" w:lineRule="auto"/>
        <w:jc w:val="both"/>
        <w:rPr>
          <w:rFonts w:ascii="Times New Roman" w:hAnsi="Times New Roman" w:cs="Times New Roman"/>
        </w:rPr>
      </w:pPr>
      <w:r w:rsidRPr="00482FCC">
        <w:rPr>
          <w:rFonts w:ascii="Times New Roman" w:hAnsi="Times New Roman" w:cs="Times New Roman"/>
        </w:rPr>
        <w:t>To what extent does packaging reusability influence consumer willingness</w:t>
      </w:r>
      <w:r w:rsidR="00550721">
        <w:rPr>
          <w:rFonts w:ascii="Times New Roman" w:hAnsi="Times New Roman" w:cs="Times New Roman"/>
        </w:rPr>
        <w:t xml:space="preserve"> to pay </w:t>
      </w:r>
      <w:r w:rsidR="00636426">
        <w:rPr>
          <w:rFonts w:ascii="Times New Roman" w:hAnsi="Times New Roman" w:cs="Times New Roman"/>
        </w:rPr>
        <w:t xml:space="preserve">the </w:t>
      </w:r>
      <w:r w:rsidR="00550721">
        <w:rPr>
          <w:rFonts w:ascii="Times New Roman" w:hAnsi="Times New Roman" w:cs="Times New Roman"/>
        </w:rPr>
        <w:t>premium</w:t>
      </w:r>
      <w:r w:rsidRPr="00482FCC">
        <w:rPr>
          <w:rFonts w:ascii="Times New Roman" w:hAnsi="Times New Roman" w:cs="Times New Roman"/>
        </w:rPr>
        <w:t>?</w:t>
      </w:r>
    </w:p>
    <w:p w14:paraId="02B403C1" w14:textId="4D59501C" w:rsidR="00DC7A79" w:rsidRPr="00482FCC" w:rsidRDefault="00C02F9E" w:rsidP="003661BB">
      <w:pPr>
        <w:pStyle w:val="ListParagraph"/>
        <w:numPr>
          <w:ilvl w:val="0"/>
          <w:numId w:val="25"/>
        </w:numPr>
        <w:spacing w:line="360" w:lineRule="auto"/>
        <w:jc w:val="both"/>
        <w:rPr>
          <w:rFonts w:ascii="Times New Roman" w:hAnsi="Times New Roman" w:cs="Times New Roman"/>
        </w:rPr>
      </w:pPr>
      <w:r w:rsidRPr="00482FCC">
        <w:rPr>
          <w:rFonts w:ascii="Times New Roman" w:hAnsi="Times New Roman" w:cs="Times New Roman"/>
        </w:rPr>
        <w:t>How does product safety affect consumer willingness</w:t>
      </w:r>
      <w:r w:rsidR="00550721">
        <w:rPr>
          <w:rFonts w:ascii="Times New Roman" w:hAnsi="Times New Roman" w:cs="Times New Roman"/>
        </w:rPr>
        <w:t xml:space="preserve"> </w:t>
      </w:r>
      <w:r w:rsidR="00550721">
        <w:rPr>
          <w:rFonts w:ascii="Times New Roman" w:hAnsi="Times New Roman" w:cs="Times New Roman"/>
        </w:rPr>
        <w:t xml:space="preserve">to pay </w:t>
      </w:r>
      <w:r w:rsidR="00636426">
        <w:rPr>
          <w:rFonts w:ascii="Times New Roman" w:hAnsi="Times New Roman" w:cs="Times New Roman"/>
        </w:rPr>
        <w:t>the premium</w:t>
      </w:r>
      <w:r w:rsidR="0041531D" w:rsidRPr="00482FCC">
        <w:rPr>
          <w:rFonts w:ascii="Times New Roman" w:hAnsi="Times New Roman" w:cs="Times New Roman"/>
        </w:rPr>
        <w:t>?</w:t>
      </w:r>
    </w:p>
    <w:p w14:paraId="5253CEFF" w14:textId="64C2E081" w:rsidR="00E36148" w:rsidRPr="00482FCC" w:rsidRDefault="00C02F9E" w:rsidP="003661BB">
      <w:pPr>
        <w:pStyle w:val="ListParagraph"/>
        <w:numPr>
          <w:ilvl w:val="0"/>
          <w:numId w:val="25"/>
        </w:numPr>
        <w:spacing w:line="360" w:lineRule="auto"/>
        <w:jc w:val="both"/>
        <w:rPr>
          <w:rFonts w:ascii="Times New Roman" w:hAnsi="Times New Roman" w:cs="Times New Roman"/>
        </w:rPr>
      </w:pPr>
      <w:r w:rsidRPr="00482FCC">
        <w:rPr>
          <w:rFonts w:ascii="Times New Roman" w:hAnsi="Times New Roman" w:cs="Times New Roman"/>
        </w:rPr>
        <w:t xml:space="preserve">Is environmental labelling </w:t>
      </w:r>
      <w:r w:rsidR="0041531D" w:rsidRPr="00482FCC">
        <w:rPr>
          <w:rFonts w:ascii="Times New Roman" w:hAnsi="Times New Roman" w:cs="Times New Roman"/>
        </w:rPr>
        <w:t>impacting consumer willingness</w:t>
      </w:r>
      <w:r w:rsidR="00550721">
        <w:rPr>
          <w:rFonts w:ascii="Times New Roman" w:hAnsi="Times New Roman" w:cs="Times New Roman"/>
        </w:rPr>
        <w:t xml:space="preserve"> </w:t>
      </w:r>
      <w:r w:rsidR="00550721">
        <w:rPr>
          <w:rFonts w:ascii="Times New Roman" w:hAnsi="Times New Roman" w:cs="Times New Roman"/>
        </w:rPr>
        <w:t xml:space="preserve">to pay </w:t>
      </w:r>
      <w:r w:rsidR="00636426">
        <w:rPr>
          <w:rFonts w:ascii="Times New Roman" w:hAnsi="Times New Roman" w:cs="Times New Roman"/>
        </w:rPr>
        <w:t>the premium</w:t>
      </w:r>
      <w:r w:rsidR="0041531D" w:rsidRPr="00482FCC">
        <w:rPr>
          <w:rFonts w:ascii="Times New Roman" w:hAnsi="Times New Roman" w:cs="Times New Roman"/>
        </w:rPr>
        <w:t>?</w:t>
      </w:r>
    </w:p>
    <w:p w14:paraId="2B387F84" w14:textId="77777777" w:rsidR="002E6B70" w:rsidRDefault="002E6B70" w:rsidP="003661BB">
      <w:pPr>
        <w:spacing w:line="360" w:lineRule="auto"/>
        <w:jc w:val="both"/>
        <w:rPr>
          <w:rFonts w:ascii="Times New Roman" w:hAnsi="Times New Roman" w:cs="Times New Roman"/>
        </w:rPr>
      </w:pPr>
    </w:p>
    <w:p w14:paraId="7C101A79" w14:textId="77777777" w:rsidR="002E6B70" w:rsidRDefault="002E6B70" w:rsidP="003661BB">
      <w:pPr>
        <w:spacing w:line="360" w:lineRule="auto"/>
        <w:jc w:val="both"/>
        <w:rPr>
          <w:rFonts w:ascii="Times New Roman" w:hAnsi="Times New Roman" w:cs="Times New Roman"/>
        </w:rPr>
      </w:pPr>
    </w:p>
    <w:p w14:paraId="711C22B8" w14:textId="4963285C" w:rsidR="0097599A" w:rsidRPr="00482FCC" w:rsidRDefault="006B2962" w:rsidP="003661BB">
      <w:pPr>
        <w:spacing w:line="360" w:lineRule="auto"/>
        <w:jc w:val="both"/>
        <w:rPr>
          <w:rFonts w:ascii="Times New Roman" w:hAnsi="Times New Roman" w:cs="Times New Roman"/>
          <w:b/>
          <w:bCs/>
        </w:rPr>
      </w:pPr>
      <w:r w:rsidRPr="00482FCC">
        <w:rPr>
          <w:rFonts w:ascii="Times New Roman" w:hAnsi="Times New Roman" w:cs="Times New Roman"/>
          <w:b/>
          <w:bCs/>
        </w:rPr>
        <w:lastRenderedPageBreak/>
        <w:t>LITERATURE REVIEW</w:t>
      </w:r>
    </w:p>
    <w:p w14:paraId="2853838D" w14:textId="6E866390" w:rsidR="00E16F7B" w:rsidRPr="00482FCC" w:rsidRDefault="00912CCA" w:rsidP="003661BB">
      <w:pPr>
        <w:spacing w:line="360" w:lineRule="auto"/>
        <w:jc w:val="both"/>
        <w:rPr>
          <w:rFonts w:ascii="Times New Roman" w:hAnsi="Times New Roman" w:cs="Times New Roman"/>
          <w:b/>
          <w:bCs/>
        </w:rPr>
      </w:pPr>
      <w:r w:rsidRPr="00482FCC">
        <w:rPr>
          <w:rFonts w:ascii="Times New Roman" w:hAnsi="Times New Roman" w:cs="Times New Roman"/>
          <w:b/>
          <w:bCs/>
        </w:rPr>
        <w:t>Packaging</w:t>
      </w:r>
      <w:r w:rsidR="00E02841" w:rsidRPr="00482FCC">
        <w:rPr>
          <w:rFonts w:ascii="Times New Roman" w:hAnsi="Times New Roman" w:cs="Times New Roman"/>
          <w:b/>
          <w:bCs/>
        </w:rPr>
        <w:t xml:space="preserve"> </w:t>
      </w:r>
      <w:r w:rsidR="00B32EB2" w:rsidRPr="00482FCC">
        <w:rPr>
          <w:rFonts w:ascii="Times New Roman" w:hAnsi="Times New Roman" w:cs="Times New Roman"/>
          <w:b/>
          <w:bCs/>
        </w:rPr>
        <w:t>R</w:t>
      </w:r>
      <w:r w:rsidR="00E02841" w:rsidRPr="00482FCC">
        <w:rPr>
          <w:rFonts w:ascii="Times New Roman" w:hAnsi="Times New Roman" w:cs="Times New Roman"/>
          <w:b/>
          <w:bCs/>
        </w:rPr>
        <w:t>eusability</w:t>
      </w:r>
    </w:p>
    <w:p w14:paraId="699FE12C" w14:textId="31F70A96" w:rsidR="00DC7A79" w:rsidRPr="00482FCC" w:rsidRDefault="00FB75F7" w:rsidP="003661BB">
      <w:pPr>
        <w:spacing w:line="360" w:lineRule="auto"/>
        <w:jc w:val="both"/>
        <w:rPr>
          <w:rFonts w:ascii="Times New Roman" w:hAnsi="Times New Roman" w:cs="Times New Roman"/>
        </w:rPr>
      </w:pPr>
      <w:r w:rsidRPr="00482FCC">
        <w:rPr>
          <w:rFonts w:ascii="Times New Roman" w:hAnsi="Times New Roman" w:cs="Times New Roman"/>
        </w:rPr>
        <w:t xml:space="preserve">Packaging is the foundation for brand recognition and helps create a more exciting shopping experience for consumers. While packaging plays significant logistical roles, it profoundly impacts consumer perceptions and behaviour, particularly among younger consumers who focus heavily on visible and environmental aspects. According to Andrei (2023), effective packaging helps consumers </w:t>
      </w:r>
      <w:r w:rsidR="0073476D">
        <w:rPr>
          <w:rFonts w:ascii="Times New Roman" w:hAnsi="Times New Roman" w:cs="Times New Roman"/>
        </w:rPr>
        <w:t>clearly provide product information</w:t>
      </w:r>
      <w:r w:rsidRPr="00482FCC">
        <w:rPr>
          <w:rFonts w:ascii="Times New Roman" w:hAnsi="Times New Roman" w:cs="Times New Roman"/>
        </w:rPr>
        <w:t xml:space="preserve"> and facilitates decision-making during the selection phase.</w:t>
      </w:r>
    </w:p>
    <w:p w14:paraId="46205B05" w14:textId="31C196DE" w:rsidR="00804E0C" w:rsidRPr="00482FCC" w:rsidRDefault="0073476D" w:rsidP="003661BB">
      <w:pPr>
        <w:spacing w:line="360" w:lineRule="auto"/>
        <w:jc w:val="both"/>
        <w:rPr>
          <w:rFonts w:ascii="Times New Roman" w:hAnsi="Times New Roman" w:cs="Times New Roman"/>
        </w:rPr>
      </w:pPr>
      <w:r>
        <w:rPr>
          <w:rFonts w:ascii="Times New Roman" w:hAnsi="Times New Roman" w:cs="Times New Roman"/>
        </w:rPr>
        <w:t>Reusability is an expanding feature of packaging, driven by increasing environmental consciousness and sustainability targets. Reusable packaging is designed for multiple uses or to be distinctly different, thereby reducing dependence on disposable options and minimising its ecological footprint (Tan et al., 2023). This category includes robust bottles, jars, cartons, and other types of packaging that allow for reuse, either through a return and refill system or as useful household containers. Implementing reusable packaging is highly beneficial. Reusability can be incorporated in packaging in two different ways: without compromising traditional marketing goals and while being eco-friendly. Adhering to reusable packaging system practises reduces waste, ensures the availability of resources, and promotes sustainable practises, as observed by Routray (2022). Businesses that utilise reusable packaging solutions meet regulatory or ethical expectations while catering to an emerging market of consumers who prioritise green purchasing behaviour (Patel, 2023). Furthermore, reusable packaging fosters loyalty and strengthens connections with clients; this becomes more effective when incentives are associated with the return of containers or participation in refill programs (Andrei, 2023). Reusable packaging enhances a brand’s image as socially responsible and environmentally committed, which is increasingly important to consumers.</w:t>
      </w:r>
    </w:p>
    <w:p w14:paraId="18F6FA09" w14:textId="1F6AECAB" w:rsidR="00983FF8" w:rsidRPr="00482FCC" w:rsidRDefault="008811D0" w:rsidP="003661BB">
      <w:pPr>
        <w:spacing w:line="360" w:lineRule="auto"/>
        <w:jc w:val="both"/>
        <w:rPr>
          <w:rFonts w:ascii="Times New Roman" w:hAnsi="Times New Roman" w:cs="Times New Roman"/>
        </w:rPr>
      </w:pPr>
      <w:r>
        <w:rPr>
          <w:rFonts w:ascii="Times New Roman" w:hAnsi="Times New Roman" w:cs="Times New Roman"/>
        </w:rPr>
        <w:t>Investing in reusable packaging for businesses necessitates reevaluating product design, supply chain logistics, and consumer education. While the initial costs may be higher, it offers long-term benefits such as savings on materials, services, customer retention, and differentiation, which will help the business become competitive in a saturated market. Packaging has evolved from its traditional function and is now a strategic marketing and sustainability tool. Reusable packaging exemplifies a visionary cooperation model that aligns business orientation with environmental stewardship.</w:t>
      </w:r>
    </w:p>
    <w:p w14:paraId="5474B2E6" w14:textId="77777777" w:rsidR="00C10638" w:rsidRPr="00482FCC" w:rsidRDefault="00C10638" w:rsidP="003661BB">
      <w:pPr>
        <w:spacing w:line="360" w:lineRule="auto"/>
        <w:jc w:val="both"/>
        <w:rPr>
          <w:rFonts w:ascii="Times New Roman" w:hAnsi="Times New Roman" w:cs="Times New Roman"/>
        </w:rPr>
      </w:pPr>
    </w:p>
    <w:p w14:paraId="7EBCF75D" w14:textId="3AF9BCE7" w:rsidR="009A1178" w:rsidRPr="00482FCC" w:rsidRDefault="009A1178" w:rsidP="003661BB">
      <w:pPr>
        <w:spacing w:line="360" w:lineRule="auto"/>
        <w:jc w:val="both"/>
        <w:rPr>
          <w:rFonts w:ascii="Times New Roman" w:hAnsi="Times New Roman" w:cs="Times New Roman"/>
          <w:b/>
          <w:bCs/>
        </w:rPr>
      </w:pPr>
      <w:r w:rsidRPr="00482FCC">
        <w:rPr>
          <w:rFonts w:ascii="Times New Roman" w:hAnsi="Times New Roman" w:cs="Times New Roman"/>
          <w:b/>
          <w:bCs/>
        </w:rPr>
        <w:lastRenderedPageBreak/>
        <w:t xml:space="preserve">Product </w:t>
      </w:r>
      <w:r w:rsidR="00144587" w:rsidRPr="00482FCC">
        <w:rPr>
          <w:rFonts w:ascii="Times New Roman" w:hAnsi="Times New Roman" w:cs="Times New Roman"/>
          <w:b/>
          <w:bCs/>
        </w:rPr>
        <w:t>Safety</w:t>
      </w:r>
      <w:r w:rsidRPr="00482FCC">
        <w:rPr>
          <w:rFonts w:ascii="Times New Roman" w:hAnsi="Times New Roman" w:cs="Times New Roman"/>
          <w:b/>
          <w:bCs/>
        </w:rPr>
        <w:t xml:space="preserve"> </w:t>
      </w:r>
    </w:p>
    <w:p w14:paraId="21BB9D08" w14:textId="67935950" w:rsidR="001F79E2" w:rsidRPr="00482FCC" w:rsidRDefault="007D241C" w:rsidP="003661BB">
      <w:pPr>
        <w:spacing w:line="360" w:lineRule="auto"/>
        <w:jc w:val="both"/>
        <w:rPr>
          <w:rFonts w:ascii="Times New Roman" w:hAnsi="Times New Roman" w:cs="Times New Roman"/>
        </w:rPr>
      </w:pPr>
      <w:r>
        <w:rPr>
          <w:rFonts w:ascii="Times New Roman" w:hAnsi="Times New Roman" w:cs="Times New Roman"/>
        </w:rPr>
        <w:t>Product safety entails guaranteeing that the consumption of the product under everyday situations poses no health hazards (Versino et al., 2023). Product safety is maintained by controlling the entire product lifecycle, from design to manufacture, packaging, labelling, and monitoring post-market to meet existing safety and regulatory requirements. Product safety is crucial for protecting consumers and gaining their trust, just as brand integrity helps to win consumer loyalty (Patel, 2023). Ensuring product safety requires adherence to pertinent health and safety rules while also addressing the growing demand for transparency and ethical practises. Ensuring that products are safe is central to protecting consumer welfare, particularly in areas like the food and beverage, pharmaceuticals, and cosmetics industries. More consumers are considering the ingredients, processes, and types of packaging used in products, especially when they see claims such as “eco-friendly” or “green” on the labels.</w:t>
      </w:r>
    </w:p>
    <w:p w14:paraId="4A21B8B9" w14:textId="06461E50" w:rsidR="00757226" w:rsidRPr="00482FCC" w:rsidRDefault="007D241C" w:rsidP="003661BB">
      <w:pPr>
        <w:spacing w:line="360" w:lineRule="auto"/>
        <w:jc w:val="both"/>
        <w:rPr>
          <w:rFonts w:ascii="Times New Roman" w:hAnsi="Times New Roman" w:cs="Times New Roman"/>
        </w:rPr>
      </w:pPr>
      <w:r>
        <w:rPr>
          <w:rFonts w:ascii="Times New Roman" w:hAnsi="Times New Roman" w:cs="Times New Roman"/>
        </w:rPr>
        <w:t>In the case of green packaging, product safety assumes increased importance. Packaging materials for eco-friendly items need to be biodegradable or recyclable in nature and should safeguard the contents from contamination, spoilage, or chemical leaching. Experts insist that product safety motivates purchase decisions, primarily among health-conscious and eco-savvy individuals. Proper packaging, especially with good labelling and traceability, enhances a product’s perceived quality while promoting ethical branding (Martina, 2024). It also simplifies the process for brands to meet environmental health and safety regulations, lowering the risk of legal liabilities, product recalls, and reputational ramifications.</w:t>
      </w:r>
    </w:p>
    <w:p w14:paraId="0B9B5E0C" w14:textId="640BF07D" w:rsidR="00757226" w:rsidRPr="00482FCC" w:rsidRDefault="002F49D2" w:rsidP="003661BB">
      <w:pPr>
        <w:spacing w:line="360" w:lineRule="auto"/>
        <w:jc w:val="both"/>
        <w:rPr>
          <w:rFonts w:ascii="Times New Roman" w:hAnsi="Times New Roman" w:cs="Times New Roman"/>
        </w:rPr>
      </w:pPr>
      <w:r w:rsidRPr="00482FCC">
        <w:rPr>
          <w:rFonts w:ascii="Times New Roman" w:hAnsi="Times New Roman" w:cs="Times New Roman"/>
        </w:rPr>
        <w:t>Furthermore, product safety is closely linked to sustainable consumption, where consumers are encouraged to choose eco-friendly</w:t>
      </w:r>
      <w:r w:rsidR="000B0C2D" w:rsidRPr="00482FCC">
        <w:rPr>
          <w:rFonts w:ascii="Times New Roman" w:hAnsi="Times New Roman" w:cs="Times New Roman"/>
        </w:rPr>
        <w:t>, safe options</w:t>
      </w:r>
      <w:r w:rsidRPr="00482FCC">
        <w:rPr>
          <w:rFonts w:ascii="Times New Roman" w:hAnsi="Times New Roman" w:cs="Times New Roman"/>
        </w:rPr>
        <w:t xml:space="preserve"> for personal and public health (Shimul &amp; Cheah, 2023). This intersection is particularly significant in developing countries, where regulatory enforcement is weaker</w:t>
      </w:r>
      <w:r w:rsidR="000B0C2D" w:rsidRPr="00482FCC">
        <w:rPr>
          <w:rFonts w:ascii="Times New Roman" w:hAnsi="Times New Roman" w:cs="Times New Roman"/>
        </w:rPr>
        <w:t>,</w:t>
      </w:r>
      <w:r w:rsidRPr="00482FCC">
        <w:rPr>
          <w:rFonts w:ascii="Times New Roman" w:hAnsi="Times New Roman" w:cs="Times New Roman"/>
        </w:rPr>
        <w:t xml:space="preserve"> and public awareness of product safety issues is relatively limited.</w:t>
      </w:r>
    </w:p>
    <w:p w14:paraId="4CCCFB32" w14:textId="5BE5C87D" w:rsidR="00531BD5" w:rsidRPr="00482FCC" w:rsidRDefault="00EF61B6" w:rsidP="003661BB">
      <w:pPr>
        <w:spacing w:line="360" w:lineRule="auto"/>
        <w:jc w:val="both"/>
        <w:rPr>
          <w:rFonts w:ascii="Times New Roman" w:hAnsi="Times New Roman" w:cs="Times New Roman"/>
        </w:rPr>
      </w:pPr>
      <w:r w:rsidRPr="00482FCC">
        <w:rPr>
          <w:rFonts w:ascii="Times New Roman" w:hAnsi="Times New Roman" w:cs="Times New Roman"/>
        </w:rPr>
        <w:t>Product safety assurance is vital for maintaining consumer confidence and ensuring the long-term survival of businesses. It is also closely linked to environmental issues, public health, and the business's concern for social responsibility. The obligation and value of information on product safety are essential, serving as a significant asset for business success in today's environmentally sensitive marketplaces.</w:t>
      </w:r>
    </w:p>
    <w:p w14:paraId="6ECD947D" w14:textId="77777777" w:rsidR="00531BD5" w:rsidRPr="00482FCC" w:rsidRDefault="00531BD5" w:rsidP="003661BB">
      <w:pPr>
        <w:spacing w:line="360" w:lineRule="auto"/>
        <w:jc w:val="both"/>
        <w:rPr>
          <w:rFonts w:ascii="Times New Roman" w:hAnsi="Times New Roman" w:cs="Times New Roman"/>
        </w:rPr>
      </w:pPr>
    </w:p>
    <w:p w14:paraId="05BF44E0" w14:textId="77777777" w:rsidR="00172DB1" w:rsidRPr="00172DB1" w:rsidRDefault="00172DB1" w:rsidP="003661BB">
      <w:pPr>
        <w:spacing w:line="360" w:lineRule="auto"/>
        <w:jc w:val="both"/>
        <w:rPr>
          <w:rFonts w:ascii="Times New Roman" w:hAnsi="Times New Roman" w:cs="Times New Roman"/>
          <w:b/>
          <w:bCs/>
        </w:rPr>
      </w:pPr>
      <w:r w:rsidRPr="00172DB1">
        <w:rPr>
          <w:rFonts w:ascii="Times New Roman" w:hAnsi="Times New Roman" w:cs="Times New Roman"/>
          <w:b/>
          <w:bCs/>
        </w:rPr>
        <w:lastRenderedPageBreak/>
        <w:t>Environmental Labelling</w:t>
      </w:r>
    </w:p>
    <w:p w14:paraId="15C20990" w14:textId="61352882" w:rsidR="00172DB1" w:rsidRPr="00172DB1" w:rsidRDefault="00A812A3" w:rsidP="003661BB">
      <w:pPr>
        <w:spacing w:line="360" w:lineRule="auto"/>
        <w:jc w:val="both"/>
        <w:rPr>
          <w:rFonts w:ascii="Times New Roman" w:hAnsi="Times New Roman" w:cs="Times New Roman"/>
        </w:rPr>
      </w:pPr>
      <w:r w:rsidRPr="00482FCC">
        <w:rPr>
          <w:rFonts w:ascii="Times New Roman" w:hAnsi="Times New Roman" w:cs="Times New Roman"/>
        </w:rPr>
        <w:t>Greater levels of environmental awareness influence consumers' choices, particularly when selecting eco-friendly products. Based on the research conducted by Agatha (2024), the increased value of environmental awareness among consumers significantly impacts which eco-friendly products are adopted and how they are chosen. Sustainable green products can be linked to shoppers’ understanding of sustainability through environmental labels. Businesses are required to follow environmental road mapping, which includes providing relevant details about green characteristics on the packaging, such as energy efficiency, recyclability, and biodegradability. Environmental labels empower consumers to make informed decisions about product sustainability when purchasing items.</w:t>
      </w:r>
    </w:p>
    <w:p w14:paraId="1BD61FA9" w14:textId="2C5665D0" w:rsidR="00172DB1" w:rsidRPr="00172DB1" w:rsidRDefault="00867BE5" w:rsidP="003661BB">
      <w:pPr>
        <w:spacing w:line="360" w:lineRule="auto"/>
        <w:jc w:val="both"/>
        <w:rPr>
          <w:rFonts w:ascii="Times New Roman" w:hAnsi="Times New Roman" w:cs="Times New Roman"/>
        </w:rPr>
      </w:pPr>
      <w:r w:rsidRPr="00482FCC">
        <w:rPr>
          <w:rFonts w:ascii="Times New Roman" w:hAnsi="Times New Roman" w:cs="Times New Roman"/>
        </w:rPr>
        <w:t xml:space="preserve">Environmental labels help shoppers distinguish between the environmental strengths of green products and their conventional counterparts. Therefore, they can assess the environmental impact of these products (Kumar et al. 2021). Environmental labels are crucial for monitoring and ensuring compliance with environmental regulations, as well as promoting contributions to sustainable development. Frameworks and standards for environmental labelling have been developed by authorities and organisations worldwide to ensure truthful labelling, minimise greenwashing, and allow consumers to evaluate every product fairly (Nemes et al., 2022). Many emerging economies, such as Nigeria, have fallen behind in adopting environmental labelling because governments, organisations, and individuals have not engaged positively in advancing sustainable practices and environmental conservation. With such labels, consumers have essential environmental knowledge at their disposal, which they use to favour products that are environmentally responsible. Trustworthy environmental information that advocates for their ability to make choices that align with their sustainability preferences. </w:t>
      </w:r>
    </w:p>
    <w:p w14:paraId="3E493821" w14:textId="02A1D68B" w:rsidR="00FE3D4E" w:rsidRPr="00482FCC" w:rsidRDefault="00FE3D4E" w:rsidP="003661BB">
      <w:pPr>
        <w:spacing w:line="360" w:lineRule="auto"/>
        <w:jc w:val="both"/>
        <w:rPr>
          <w:rFonts w:ascii="Times New Roman" w:hAnsi="Times New Roman" w:cs="Times New Roman"/>
          <w:b/>
          <w:bCs/>
        </w:rPr>
      </w:pPr>
      <w:r w:rsidRPr="00482FCC">
        <w:rPr>
          <w:rFonts w:ascii="Times New Roman" w:hAnsi="Times New Roman" w:cs="Times New Roman"/>
          <w:b/>
          <w:bCs/>
        </w:rPr>
        <w:t>Consumers’ willingness to pay extra to use eco-friendly products</w:t>
      </w:r>
    </w:p>
    <w:p w14:paraId="2DF2DB74" w14:textId="087D119D" w:rsidR="009E24F7" w:rsidRPr="00482FCC" w:rsidRDefault="009E24F7" w:rsidP="003661BB">
      <w:pPr>
        <w:spacing w:line="360" w:lineRule="auto"/>
        <w:jc w:val="both"/>
        <w:rPr>
          <w:rFonts w:ascii="Times New Roman" w:hAnsi="Times New Roman" w:cs="Times New Roman"/>
        </w:rPr>
      </w:pPr>
      <w:r w:rsidRPr="00482FCC">
        <w:rPr>
          <w:rFonts w:ascii="Times New Roman" w:hAnsi="Times New Roman" w:cs="Times New Roman"/>
        </w:rPr>
        <w:t>Since day one, willingness to pay</w:t>
      </w:r>
      <w:r w:rsidRPr="00482FCC">
        <w:rPr>
          <w:rFonts w:ascii="Times New Roman" w:hAnsi="Times New Roman" w:cs="Times New Roman"/>
          <w:b/>
          <w:bCs/>
        </w:rPr>
        <w:t xml:space="preserve"> </w:t>
      </w:r>
      <w:r w:rsidRPr="00482FCC">
        <w:rPr>
          <w:rFonts w:ascii="Times New Roman" w:hAnsi="Times New Roman" w:cs="Times New Roman"/>
        </w:rPr>
        <w:t>has been a key marketing feature. Major marketing decisions like pricing allocations, product promotion, and matching product offers all depend on willingness to pay</w:t>
      </w:r>
      <w:r w:rsidRPr="00482FCC">
        <w:rPr>
          <w:rFonts w:ascii="Times New Roman" w:hAnsi="Times New Roman" w:cs="Times New Roman"/>
          <w:b/>
          <w:bCs/>
        </w:rPr>
        <w:t xml:space="preserve"> </w:t>
      </w:r>
      <w:r w:rsidRPr="00482FCC">
        <w:rPr>
          <w:rFonts w:ascii="Times New Roman" w:hAnsi="Times New Roman" w:cs="Times New Roman"/>
        </w:rPr>
        <w:t>(Pérez &amp; López-Ospina, 2022). Effective pricing strategies are built on a consumer's ability to pay the maximum price for a specific amount of goods or services. As Andrus (2024) noted, willingness to pay</w:t>
      </w:r>
      <w:r w:rsidRPr="00482FCC">
        <w:rPr>
          <w:rFonts w:ascii="Times New Roman" w:hAnsi="Times New Roman" w:cs="Times New Roman"/>
          <w:b/>
          <w:bCs/>
        </w:rPr>
        <w:t xml:space="preserve"> </w:t>
      </w:r>
      <w:r w:rsidRPr="00482FCC">
        <w:rPr>
          <w:rFonts w:ascii="Times New Roman" w:hAnsi="Times New Roman" w:cs="Times New Roman"/>
        </w:rPr>
        <w:t xml:space="preserve">is a crucial measure companies may use to make their pricing plans flexible enough to meet customer demand and compete in the market. </w:t>
      </w:r>
    </w:p>
    <w:p w14:paraId="2AB9DEF4" w14:textId="2712D475" w:rsidR="00620D86" w:rsidRPr="00482FCC" w:rsidRDefault="009E24F7" w:rsidP="003661BB">
      <w:pPr>
        <w:spacing w:line="360" w:lineRule="auto"/>
        <w:jc w:val="both"/>
        <w:rPr>
          <w:rFonts w:ascii="Times New Roman" w:hAnsi="Times New Roman" w:cs="Times New Roman"/>
        </w:rPr>
      </w:pPr>
      <w:r w:rsidRPr="00482FCC">
        <w:rPr>
          <w:rFonts w:ascii="Times New Roman" w:hAnsi="Times New Roman" w:cs="Times New Roman"/>
        </w:rPr>
        <w:t xml:space="preserve">When launching a product into the market, product pricing is quite important. Suphaskuldamrong et al. (2021) found that a flawed pricing approach might reduce investment </w:t>
      </w:r>
      <w:r w:rsidRPr="00482FCC">
        <w:rPr>
          <w:rFonts w:ascii="Times New Roman" w:hAnsi="Times New Roman" w:cs="Times New Roman"/>
        </w:rPr>
        <w:lastRenderedPageBreak/>
        <w:t xml:space="preserve">project outcomes and harm the product's market appeal. Managers should understand the maximum price consumers are willing to pay for the goods to set an appropriate price. Companies can employ a pricing strategy that maximises income and consumer satisfaction (Grandi et al., 2025). Decision-making regarding sustainable products hinges on consumer willingness to pay, which is a key factor. Consumers who are prepared to pay a little extra will likely support green practices when purchasing items (Gomes et al., 2023). This indicates the existence of an environmental market where ecological factors, rather than financial ones, are the primary motivation. However, premium eco-product prices hinder more sustainable development, as shown (Testa et al., 2021). Studies reveal that even at higher prices, consumers who value environmental considerations prefer eco-labeled goods. In the minds of such customers, environmental ideals take precedence over finances, motivating them to pay more to promote sustainability (Hageman et al., 2024). </w:t>
      </w:r>
    </w:p>
    <w:p w14:paraId="075D78A4" w14:textId="4074CFE8" w:rsidR="00810D59" w:rsidRPr="00482FCC" w:rsidRDefault="00620D86" w:rsidP="003661BB">
      <w:pPr>
        <w:spacing w:line="360" w:lineRule="auto"/>
        <w:jc w:val="both"/>
        <w:rPr>
          <w:rFonts w:ascii="Times New Roman" w:hAnsi="Times New Roman" w:cs="Times New Roman"/>
        </w:rPr>
      </w:pPr>
      <w:r w:rsidRPr="00482FCC">
        <w:rPr>
          <w:rFonts w:ascii="Times New Roman" w:hAnsi="Times New Roman" w:cs="Times New Roman"/>
        </w:rPr>
        <w:t>It is essential to determine whether consumers will pay extra for ecologically friendly packaging. Green packaging made from biodegradable, recyclable, or reusable materials typically has higher manufacturing expenses. Companies must evaluate the feasibility of the green packaging project by assessing customer readiness to pay more. In this regard, customers' willingness to pay more for green products may influence environmentally conscious purchasing and provide companies with a critical measure of their market relevance.</w:t>
      </w:r>
    </w:p>
    <w:p w14:paraId="223EF484" w14:textId="446187E0" w:rsidR="005106ED" w:rsidRPr="00482FCC" w:rsidRDefault="005106ED" w:rsidP="003661BB">
      <w:pPr>
        <w:spacing w:line="360" w:lineRule="auto"/>
        <w:jc w:val="both"/>
        <w:rPr>
          <w:rFonts w:ascii="Times New Roman" w:hAnsi="Times New Roman" w:cs="Times New Roman"/>
          <w:b/>
          <w:bCs/>
        </w:rPr>
      </w:pPr>
      <w:r w:rsidRPr="00482FCC">
        <w:rPr>
          <w:rFonts w:ascii="Times New Roman" w:hAnsi="Times New Roman" w:cs="Times New Roman"/>
          <w:b/>
          <w:bCs/>
        </w:rPr>
        <w:t>Underpinning Theory</w:t>
      </w:r>
    </w:p>
    <w:p w14:paraId="481B7D8D" w14:textId="566B7C0F" w:rsidR="005F4C20" w:rsidRPr="00482FCC" w:rsidRDefault="005F4C20" w:rsidP="003661BB">
      <w:pPr>
        <w:spacing w:line="360" w:lineRule="auto"/>
        <w:jc w:val="both"/>
        <w:rPr>
          <w:rFonts w:ascii="Times New Roman" w:hAnsi="Times New Roman" w:cs="Times New Roman"/>
        </w:rPr>
      </w:pPr>
      <w:r w:rsidRPr="00482FCC">
        <w:rPr>
          <w:rFonts w:ascii="Times New Roman" w:hAnsi="Times New Roman" w:cs="Times New Roman"/>
        </w:rPr>
        <w:t xml:space="preserve">This study aims to measure the willingness of consumers of Coca-Cola products in Kwara State to pay higher costs for environmentally sustainable containers, based on the Theory of Planned Behaviour (TPB). Rooted in social psychology, the Theory of Planned Behaviour has consistently demonstrated its effectiveness in explaining and predicting various aspects of human behaviour. It offers a comprehensive framework for analysing human behavioural trends (Ajzen, 1991, 2011). Within this theory, behaviour is best studied by examining attitudes, subjective norms, and perceived behavioural control, the latter of which encompasses beliefs, social expectations, and personal efficacy. These elements evaluate the degree to which individuals are inclined to engage in practices related to acquiring green products. Our research aims to investigate the alignment of customer attitudes towards Coca-Cola's sustainable packaging with the tenets of planned behaviour theory. The appeal of eco-friendly products to consumers is driven by their perceptions of sustainable packaging and their readiness to pay more for green products when environmental issues are involved. Studies have shown that the </w:t>
      </w:r>
      <w:r w:rsidRPr="00482FCC">
        <w:rPr>
          <w:rFonts w:ascii="Times New Roman" w:hAnsi="Times New Roman" w:cs="Times New Roman"/>
        </w:rPr>
        <w:lastRenderedPageBreak/>
        <w:t xml:space="preserve">TPB is practically valuable in predicting consumer choices regarding green products, with green packaging being a component of this (Biswas &amp; Roy 2015; Pérez et al., 2019). As previous research has illustrated, this approach effectively addresses consumer behaviour concerning environmentally friendly products across various sectors. Despite the frequent application of the Theory of Planned Behaviour in different contexts, there has been limited research attention focused on its examination in sub-Saharan African food processing. This study, grounded in the Theory of Planned Behaviour, explores the motivations driving individuals in Kwara State to favour eco-friendly packaging when purchasing Coca-Cola products, particularly their willingness to pay a premium. </w:t>
      </w:r>
    </w:p>
    <w:p w14:paraId="61AC633C" w14:textId="6972E9C8" w:rsidR="005F4C20" w:rsidRPr="00482FCC" w:rsidRDefault="005F4C20" w:rsidP="003661BB">
      <w:pPr>
        <w:spacing w:line="360" w:lineRule="auto"/>
        <w:jc w:val="both"/>
        <w:rPr>
          <w:rFonts w:ascii="Times New Roman" w:hAnsi="Times New Roman" w:cs="Times New Roman"/>
        </w:rPr>
      </w:pPr>
      <w:r w:rsidRPr="00482FCC">
        <w:rPr>
          <w:rFonts w:ascii="Times New Roman" w:hAnsi="Times New Roman" w:cs="Times New Roman"/>
        </w:rPr>
        <w:t>Although it has become widely recognized, the theory of planned behaviour can also be successfully applied to the aspect of green packaging in developing countries, including Nigeria, providing a set of novel insights into studying such a topic. We contribute to the accumulated science of green purchasing behaviour. The study expands the horizons of the Theory of Planned Behaviour as applied to Coca-Cola’s sustainable operations in Kwara State. This investigation offers new perspectives from the viewpoint of pricing strategies and highlights the demand for premium green commodities. Additionally, it emphasises the appeal of green packaging to customers who are concerned about environmental issues.</w:t>
      </w:r>
    </w:p>
    <w:p w14:paraId="372A0948" w14:textId="77777777" w:rsidR="005106ED" w:rsidRPr="00482FCC" w:rsidRDefault="005106ED" w:rsidP="003661BB">
      <w:pPr>
        <w:spacing w:line="360" w:lineRule="auto"/>
        <w:jc w:val="both"/>
        <w:rPr>
          <w:rFonts w:ascii="Times New Roman" w:hAnsi="Times New Roman" w:cs="Times New Roman"/>
          <w:b/>
          <w:bCs/>
        </w:rPr>
      </w:pPr>
      <w:r w:rsidRPr="00482FCC">
        <w:rPr>
          <w:rFonts w:ascii="Times New Roman" w:hAnsi="Times New Roman" w:cs="Times New Roman"/>
          <w:b/>
          <w:bCs/>
        </w:rPr>
        <w:t>Empirical Review</w:t>
      </w:r>
    </w:p>
    <w:p w14:paraId="03D8AF55" w14:textId="77777777" w:rsidR="00D41ED0" w:rsidRPr="00482FCC" w:rsidRDefault="00D41ED0" w:rsidP="003661BB">
      <w:pPr>
        <w:spacing w:line="360" w:lineRule="auto"/>
        <w:jc w:val="both"/>
        <w:rPr>
          <w:rFonts w:ascii="Times New Roman" w:hAnsi="Times New Roman" w:cs="Times New Roman"/>
        </w:rPr>
      </w:pPr>
      <w:r w:rsidRPr="00482FCC">
        <w:rPr>
          <w:rFonts w:ascii="Times New Roman" w:hAnsi="Times New Roman" w:cs="Times New Roman"/>
        </w:rPr>
        <w:t xml:space="preserve">Agatha (2024) explored consumer interest in paying more for green packaging, which was as important as understanding businesses' sustainability challenges. The methodology used for the study involved surveying 137 participants from various populations to investigate their purchasing behaviours and consumption preferences. The data confirmed that willing consumers are more likely to buy eco-friendly packaging, given some businesses” transitions in their approach to marketing these preferences. The findings indicate that effective marketing, open lines of communication, and strategic pricing are key to increasing consumer acceptance of green packaging. </w:t>
      </w:r>
    </w:p>
    <w:p w14:paraId="6DBACFEC" w14:textId="66F3FEE5" w:rsidR="0041102F" w:rsidRPr="00482FCC" w:rsidRDefault="00736BA3" w:rsidP="003661BB">
      <w:pPr>
        <w:spacing w:line="360" w:lineRule="auto"/>
        <w:jc w:val="both"/>
        <w:rPr>
          <w:rFonts w:ascii="Times New Roman" w:hAnsi="Times New Roman" w:cs="Times New Roman"/>
        </w:rPr>
      </w:pPr>
      <w:r w:rsidRPr="00482FCC">
        <w:rPr>
          <w:rFonts w:ascii="Times New Roman" w:hAnsi="Times New Roman" w:cs="Times New Roman"/>
        </w:rPr>
        <w:t xml:space="preserve">Ewuzie et al. (2024) considered packaging an effective marketing tool for enhancing consumer preference for Coca-Cola products. The study was limited to consumer behaviour in the Enugu metropolis. Due to uncertainty regarding the scope of the study population, a sample size of 384 was determined using the Yamane formula for infinite populations. A questionnaire served as the primary instrument for data collection in the study. The data were analysed descriptively using SPSS, employing frequency tables, percentages, and mean scores. The hypotheses were </w:t>
      </w:r>
      <w:r w:rsidRPr="00482FCC">
        <w:rPr>
          <w:rFonts w:ascii="Times New Roman" w:hAnsi="Times New Roman" w:cs="Times New Roman"/>
        </w:rPr>
        <w:lastRenderedPageBreak/>
        <w:t>tested using logistic regression analysis. According to the results, unique package shapes, various sizes, and clear labelling significantly improve consumer preferences for Coca-Cola products. The study advises companies to enhance their packaging design to improve consumer product preference.</w:t>
      </w:r>
    </w:p>
    <w:p w14:paraId="0F912DA2" w14:textId="02C6A693" w:rsidR="00054BCD" w:rsidRPr="00482FCC" w:rsidRDefault="00054BCD" w:rsidP="003661BB">
      <w:pPr>
        <w:spacing w:line="360" w:lineRule="auto"/>
        <w:jc w:val="both"/>
        <w:rPr>
          <w:rFonts w:ascii="Times New Roman" w:hAnsi="Times New Roman" w:cs="Times New Roman"/>
        </w:rPr>
      </w:pPr>
      <w:r w:rsidRPr="00482FCC">
        <w:rPr>
          <w:rFonts w:ascii="Times New Roman" w:hAnsi="Times New Roman" w:cs="Times New Roman"/>
        </w:rPr>
        <w:t xml:space="preserve">Philip (2024) focused on assessing the additional cost Nigerian customers are willing to pay for eco-friendly items, an issue that lacks solid proof. To determine the depth of this desire, the study explored the factors that affect it and </w:t>
      </w:r>
      <w:r w:rsidR="00EB4E97" w:rsidRPr="00482FCC">
        <w:rPr>
          <w:rFonts w:ascii="Times New Roman" w:hAnsi="Times New Roman" w:cs="Times New Roman"/>
        </w:rPr>
        <w:t>analysed</w:t>
      </w:r>
      <w:r w:rsidRPr="00482FCC">
        <w:rPr>
          <w:rFonts w:ascii="Times New Roman" w:hAnsi="Times New Roman" w:cs="Times New Roman"/>
        </w:rPr>
        <w:t xml:space="preserve"> its consequences for companies and sustainability, utilizing surveys and interviews as research methodologies. The poll found that many customers in Nigeria are willing to spend extra on environmentally friendly items due to their concerns for quality and health. These implications may benefit firms and governmental organizations attempting to drive sustainable consumption in Nigeria, as they support the idea that expanding access to and knowledge of green products can boost customer demand and confidence.</w:t>
      </w:r>
      <w:r w:rsidRPr="00482FCC">
        <w:rPr>
          <w:rFonts w:ascii="Times New Roman" w:hAnsi="Times New Roman" w:cs="Times New Roman"/>
        </w:rPr>
        <w:br/>
        <w:t xml:space="preserve">Mahmoud et al. (2022) looked at consumers' decisions on green packaging, environmental concerns, and price preferences for green items. Information from 218 individuals was collected in Ghana using a cross-sectional survey. Participants in this study were chosen via purposive sampling. A descriptive statistical analysis was conducted using SPSS software, and partial least square structural equation </w:t>
      </w:r>
      <w:r w:rsidR="00EB4E97" w:rsidRPr="00482FCC">
        <w:rPr>
          <w:rFonts w:ascii="Times New Roman" w:hAnsi="Times New Roman" w:cs="Times New Roman"/>
        </w:rPr>
        <w:t>modelling</w:t>
      </w:r>
      <w:r w:rsidRPr="00482FCC">
        <w:rPr>
          <w:rFonts w:ascii="Times New Roman" w:hAnsi="Times New Roman" w:cs="Times New Roman"/>
        </w:rPr>
        <w:t xml:space="preserve"> (PLS-SEM) was used to evaluate the hypotheses. The research showed that consumers' decisions to purchase green items were greatly impacted by their environmental knowledge. Green packaging had minimal effect in convincing Ghanaian customers to buy. The study also revealed that consumers' buying choices were favourably and significantly influenced by their willingness to pay extra for environmentally friendly items.</w:t>
      </w:r>
    </w:p>
    <w:p w14:paraId="39761DDD" w14:textId="6ED621D2" w:rsidR="00054BCD" w:rsidRPr="00482FCC" w:rsidRDefault="00054BCD" w:rsidP="003661BB">
      <w:pPr>
        <w:spacing w:line="360" w:lineRule="auto"/>
        <w:jc w:val="both"/>
        <w:rPr>
          <w:rFonts w:ascii="Times New Roman" w:hAnsi="Times New Roman" w:cs="Times New Roman"/>
        </w:rPr>
      </w:pPr>
      <w:r w:rsidRPr="00482FCC">
        <w:rPr>
          <w:rFonts w:ascii="Times New Roman" w:hAnsi="Times New Roman" w:cs="Times New Roman"/>
        </w:rPr>
        <w:t>Tanzares et al. (2024) examined how customer behaviour, attitudes, environmental awareness, and willingness to pay for sustainable packaging influence consumption choices in Indonesia. A quantitative study approach utilized online questionnaires. Questionnaires accessible online to those interested in Indonesian sustainable packaging produced 153 responses for this study. The data analysis technique employed in this work was Partial Least Squares-based Structural Equation Modelling (PLS-SEM). Smart-PLS software 4 was used to measure the outer model, inner model, and hypotheses. The study evaluated four hypotheses and discovered that purchase choices were directly impacted by attitudes, willingness to pay, environmental awareness, and consumer behaviour. More than environmental awareness, consumer behaviour and willingness to pay shape opinions on sustainable packaging.</w:t>
      </w:r>
    </w:p>
    <w:p w14:paraId="06180954" w14:textId="1FBA2A6C" w:rsidR="00054BCD" w:rsidRPr="00482FCC" w:rsidRDefault="00054BCD" w:rsidP="003661BB">
      <w:pPr>
        <w:spacing w:line="360" w:lineRule="auto"/>
        <w:jc w:val="both"/>
        <w:rPr>
          <w:rFonts w:ascii="Times New Roman" w:hAnsi="Times New Roman" w:cs="Times New Roman"/>
        </w:rPr>
      </w:pPr>
      <w:r w:rsidRPr="00482FCC">
        <w:rPr>
          <w:rFonts w:ascii="Times New Roman" w:hAnsi="Times New Roman" w:cs="Times New Roman"/>
        </w:rPr>
        <w:lastRenderedPageBreak/>
        <w:t xml:space="preserve">Idiaye et al. (2020) sought to grasp customers' risk perception, health, and novelty perspectives on processed chicken meat in Oyo State, Nigeria, </w:t>
      </w:r>
      <w:r w:rsidR="00DC6DEC">
        <w:rPr>
          <w:rFonts w:ascii="Times New Roman" w:hAnsi="Times New Roman" w:cs="Times New Roman"/>
        </w:rPr>
        <w:t>and</w:t>
      </w:r>
      <w:r w:rsidRPr="00482FCC">
        <w:rPr>
          <w:rFonts w:ascii="Times New Roman" w:hAnsi="Times New Roman" w:cs="Times New Roman"/>
        </w:rPr>
        <w:t xml:space="preserve"> their readiness to pay for it. The poll indicated that customers were generally more aware of the conventional characteristics of processed chicken meat than the newer ones. Moreover, 73% of those polled reported a low risk-taking threshold. Among those surveyed, 51% expressed satisfaction with the safety and quality of Nigerian chicken meat, while only 35% stated they had reduced their chicken intake for safety reasons. The study revealed that age, income, gender, household size, primary employment, supermarket shopping habits, and gender </w:t>
      </w:r>
      <w:r w:rsidR="00EB4E97" w:rsidRPr="00482FCC">
        <w:rPr>
          <w:rFonts w:ascii="Times New Roman" w:hAnsi="Times New Roman" w:cs="Times New Roman"/>
        </w:rPr>
        <w:t>significantly influenced</w:t>
      </w:r>
      <w:r w:rsidRPr="00482FCC">
        <w:rPr>
          <w:rFonts w:ascii="Times New Roman" w:hAnsi="Times New Roman" w:cs="Times New Roman"/>
        </w:rPr>
        <w:t xml:space="preserve"> customers' readiness to pay more for </w:t>
      </w:r>
      <w:r w:rsidR="00DC6DEC">
        <w:rPr>
          <w:rFonts w:ascii="Times New Roman" w:hAnsi="Times New Roman" w:cs="Times New Roman"/>
        </w:rPr>
        <w:t>specialised</w:t>
      </w:r>
      <w:r w:rsidRPr="00482FCC">
        <w:rPr>
          <w:rFonts w:ascii="Times New Roman" w:hAnsi="Times New Roman" w:cs="Times New Roman"/>
        </w:rPr>
        <w:t xml:space="preserve"> features and safety improvements in processed products. Value chain participants must employ marketing techniques tailored to specific customer demographic segments that are uniquely identifiable based on their socioeconomic backgrounds.</w:t>
      </w:r>
      <w:r w:rsidRPr="00482FCC">
        <w:rPr>
          <w:rFonts w:ascii="Times New Roman" w:hAnsi="Times New Roman" w:cs="Times New Roman"/>
        </w:rPr>
        <w:br/>
        <w:t xml:space="preserve">Suphaskuldamrong et al. (2021) examined how customers' risk perceptions, attitudes towards risk management, and willingness to pay more for their decisions influenced them. A self-administered questionnaire was completed by 784 organic product customers in Bangkok, Thailand. The collected data was </w:t>
      </w:r>
      <w:r w:rsidR="00032D99" w:rsidRPr="00482FCC">
        <w:rPr>
          <w:rFonts w:ascii="Times New Roman" w:hAnsi="Times New Roman" w:cs="Times New Roman"/>
        </w:rPr>
        <w:t>analysed</w:t>
      </w:r>
      <w:r w:rsidRPr="00482FCC">
        <w:rPr>
          <w:rFonts w:ascii="Times New Roman" w:hAnsi="Times New Roman" w:cs="Times New Roman"/>
        </w:rPr>
        <w:t xml:space="preserve"> using Structural Equation </w:t>
      </w:r>
      <w:r w:rsidR="00032D99" w:rsidRPr="00482FCC">
        <w:rPr>
          <w:rFonts w:ascii="Times New Roman" w:hAnsi="Times New Roman" w:cs="Times New Roman"/>
        </w:rPr>
        <w:t>Modelling</w:t>
      </w:r>
      <w:r w:rsidRPr="00482FCC">
        <w:rPr>
          <w:rFonts w:ascii="Times New Roman" w:hAnsi="Times New Roman" w:cs="Times New Roman"/>
        </w:rPr>
        <w:t xml:space="preserve"> (SEM). The study demonstrates for the first time that consumers' perceived </w:t>
      </w:r>
      <w:r w:rsidR="00EB4E97" w:rsidRPr="00482FCC">
        <w:rPr>
          <w:rFonts w:ascii="Times New Roman" w:hAnsi="Times New Roman" w:cs="Times New Roman"/>
        </w:rPr>
        <w:t>risk level and</w:t>
      </w:r>
      <w:r w:rsidRPr="00482FCC">
        <w:rPr>
          <w:rFonts w:ascii="Times New Roman" w:hAnsi="Times New Roman" w:cs="Times New Roman"/>
        </w:rPr>
        <w:t xml:space="preserve"> efforts to mitigate that risk significantly impact their willingness to pay a premium for organic products. While effective risk management strategies can diminish consumers' willingness to pay for organic products, their perceptions and lifestyles help shape their risk evaluations.</w:t>
      </w:r>
    </w:p>
    <w:p w14:paraId="545A7FA4" w14:textId="77777777" w:rsidR="00054BCD" w:rsidRPr="00482FCC" w:rsidRDefault="00054BCD" w:rsidP="003661BB">
      <w:pPr>
        <w:spacing w:line="360" w:lineRule="auto"/>
        <w:jc w:val="both"/>
        <w:rPr>
          <w:rFonts w:ascii="Times New Roman" w:hAnsi="Times New Roman" w:cs="Times New Roman"/>
        </w:rPr>
      </w:pPr>
    </w:p>
    <w:p w14:paraId="32C78865" w14:textId="77777777" w:rsidR="0041102F" w:rsidRPr="00482FCC" w:rsidRDefault="0041102F" w:rsidP="003661BB">
      <w:pPr>
        <w:spacing w:line="360" w:lineRule="auto"/>
        <w:jc w:val="both"/>
        <w:rPr>
          <w:rFonts w:ascii="Times New Roman" w:hAnsi="Times New Roman" w:cs="Times New Roman"/>
          <w:b/>
          <w:bCs/>
        </w:rPr>
      </w:pPr>
      <w:r w:rsidRPr="00482FCC">
        <w:rPr>
          <w:rFonts w:ascii="Times New Roman" w:hAnsi="Times New Roman" w:cs="Times New Roman"/>
          <w:b/>
          <w:bCs/>
        </w:rPr>
        <w:t>METHODOLOGY</w:t>
      </w:r>
    </w:p>
    <w:p w14:paraId="3535227E" w14:textId="03CF85AD" w:rsidR="00B94A7C" w:rsidRPr="00B94A7C" w:rsidRDefault="00B94A7C" w:rsidP="003661BB">
      <w:pPr>
        <w:spacing w:line="360" w:lineRule="auto"/>
        <w:jc w:val="both"/>
        <w:rPr>
          <w:rFonts w:ascii="Times New Roman" w:hAnsi="Times New Roman" w:cs="Times New Roman"/>
        </w:rPr>
      </w:pPr>
      <w:r w:rsidRPr="00482FCC">
        <w:rPr>
          <w:rFonts w:ascii="Times New Roman" w:hAnsi="Times New Roman" w:cs="Times New Roman"/>
        </w:rPr>
        <w:t xml:space="preserve">The quantitative research method was employed to determine how much consumers in Kwara State, Nigeria, would be willing to pay for Coca-Cola in eco-friendly packaging. The core focus is to understand the impact of eco-friendly packaging on consumer perceptions and purchasing behaviour- specifically, how awareness about sustainability affects a premium price point. Study participants included Coca-Cola customers located in Kwara State, Nigeria. To determine the necessary sample size, the researchers applied the Taro Yamane formula, which is one of the best-known techniques for ascertaining suitable samples when dealing with large or unknown populations. The sample size determination depends on the researcher’s chosen confidence level and margin of error to ensure reliable and valid results. Using the Taro Yamane formula, the study selected 384 respondents as the most appropriate number. Thus, 384 </w:t>
      </w:r>
      <w:r w:rsidRPr="00482FCC">
        <w:rPr>
          <w:rFonts w:ascii="Times New Roman" w:hAnsi="Times New Roman" w:cs="Times New Roman"/>
        </w:rPr>
        <w:lastRenderedPageBreak/>
        <w:t xml:space="preserve">participants were chosen to ensure a comprehensive representation of the various Coca-Cola consumer segments in Kwara State included in the study. </w:t>
      </w:r>
    </w:p>
    <w:p w14:paraId="73E90259" w14:textId="4EFC0402" w:rsidR="00334658" w:rsidRPr="00482FCC" w:rsidRDefault="00B94A7C" w:rsidP="003661BB">
      <w:pPr>
        <w:spacing w:line="360" w:lineRule="auto"/>
        <w:jc w:val="both"/>
        <w:rPr>
          <w:rFonts w:ascii="Times New Roman" w:hAnsi="Times New Roman" w:cs="Times New Roman"/>
        </w:rPr>
      </w:pPr>
      <w:r w:rsidRPr="00B94A7C">
        <w:rPr>
          <w:rFonts w:ascii="Times New Roman" w:hAnsi="Times New Roman" w:cs="Times New Roman"/>
        </w:rPr>
        <w:t>The respondents recruited were s</w:t>
      </w:r>
      <w:r w:rsidR="0036437A">
        <w:rPr>
          <w:rFonts w:ascii="Times New Roman" w:hAnsi="Times New Roman" w:cs="Times New Roman"/>
        </w:rPr>
        <w:t>ampled</w:t>
      </w:r>
      <w:r w:rsidRPr="00B94A7C">
        <w:rPr>
          <w:rFonts w:ascii="Times New Roman" w:hAnsi="Times New Roman" w:cs="Times New Roman"/>
        </w:rPr>
        <w:t xml:space="preserve"> using stratified random sampling techniques. By dividing respondents into age, gender, income, and education segmentations, the study accounted for variables that may </w:t>
      </w:r>
      <w:r w:rsidR="008627FE">
        <w:rPr>
          <w:rFonts w:ascii="Times New Roman" w:hAnsi="Times New Roman" w:cs="Times New Roman"/>
        </w:rPr>
        <w:t>substantially influence</w:t>
      </w:r>
      <w:r w:rsidRPr="00B94A7C">
        <w:rPr>
          <w:rFonts w:ascii="Times New Roman" w:hAnsi="Times New Roman" w:cs="Times New Roman"/>
        </w:rPr>
        <w:t xml:space="preserve"> the consumers’ attitudes towards products and their willingness to buy premium goods. </w:t>
      </w:r>
      <w:r w:rsidR="008627FE">
        <w:rPr>
          <w:rFonts w:ascii="Times New Roman" w:hAnsi="Times New Roman" w:cs="Times New Roman"/>
        </w:rPr>
        <w:t>Using</w:t>
      </w:r>
      <w:r w:rsidRPr="00B94A7C">
        <w:rPr>
          <w:rFonts w:ascii="Times New Roman" w:hAnsi="Times New Roman" w:cs="Times New Roman"/>
        </w:rPr>
        <w:t xml:space="preserve"> such stringent stratified random sampling, the research </w:t>
      </w:r>
      <w:r w:rsidR="008627FE">
        <w:rPr>
          <w:rFonts w:ascii="Times New Roman" w:hAnsi="Times New Roman" w:cs="Times New Roman"/>
        </w:rPr>
        <w:t>got</w:t>
      </w:r>
      <w:r w:rsidRPr="00B94A7C">
        <w:rPr>
          <w:rFonts w:ascii="Times New Roman" w:hAnsi="Times New Roman" w:cs="Times New Roman"/>
        </w:rPr>
        <w:t xml:space="preserve"> a cross-section of Coca-Cola consumers in Kwara State that presented the overall population. The participants were interviewed </w:t>
      </w:r>
      <w:r w:rsidRPr="00482FCC">
        <w:rPr>
          <w:rFonts w:ascii="Times New Roman" w:hAnsi="Times New Roman" w:cs="Times New Roman"/>
        </w:rPr>
        <w:t>based on</w:t>
      </w:r>
      <w:r w:rsidRPr="00B94A7C">
        <w:rPr>
          <w:rFonts w:ascii="Times New Roman" w:hAnsi="Times New Roman" w:cs="Times New Roman"/>
        </w:rPr>
        <w:t xml:space="preserve"> a modified set of </w:t>
      </w:r>
      <w:r w:rsidRPr="00482FCC">
        <w:rPr>
          <w:rFonts w:ascii="Times New Roman" w:hAnsi="Times New Roman" w:cs="Times New Roman"/>
        </w:rPr>
        <w:t>questionnaires to capture the critical variables supportive of the study's objective</w:t>
      </w:r>
      <w:r w:rsidRPr="00B94A7C">
        <w:rPr>
          <w:rFonts w:ascii="Times New Roman" w:hAnsi="Times New Roman" w:cs="Times New Roman"/>
        </w:rPr>
        <w:t xml:space="preserve">. To inform </w:t>
      </w:r>
      <w:r w:rsidRPr="00482FCC">
        <w:rPr>
          <w:rFonts w:ascii="Times New Roman" w:hAnsi="Times New Roman" w:cs="Times New Roman"/>
        </w:rPr>
        <w:t>the respondents' consumer preferences and purchasing behaviour</w:t>
      </w:r>
      <w:r w:rsidRPr="00B94A7C">
        <w:rPr>
          <w:rFonts w:ascii="Times New Roman" w:hAnsi="Times New Roman" w:cs="Times New Roman"/>
        </w:rPr>
        <w:t xml:space="preserve">, the survey used closed-ended questions, further explored by Likert scale questions of attitudes towards green packaging. Using this method enabled researchers to generate quantifiable information supporting the analysis of consumer trends. SEM was the primary method for data analysis in this study due to its ability </w:t>
      </w:r>
      <w:r w:rsidRPr="00482FCC">
        <w:rPr>
          <w:rFonts w:ascii="Times New Roman" w:hAnsi="Times New Roman" w:cs="Times New Roman"/>
        </w:rPr>
        <w:t>to critically analyse fine, multivariate relationships</w:t>
      </w:r>
      <w:r w:rsidRPr="00B94A7C">
        <w:rPr>
          <w:rFonts w:ascii="Times New Roman" w:hAnsi="Times New Roman" w:cs="Times New Roman"/>
        </w:rPr>
        <w:t>.</w:t>
      </w:r>
      <w:r w:rsidR="0036437A">
        <w:rPr>
          <w:rFonts w:ascii="Times New Roman" w:hAnsi="Times New Roman" w:cs="Times New Roman"/>
        </w:rPr>
        <w:t xml:space="preserve"> </w:t>
      </w:r>
      <w:r w:rsidRPr="00B94A7C">
        <w:rPr>
          <w:rFonts w:ascii="Times New Roman" w:hAnsi="Times New Roman" w:cs="Times New Roman"/>
        </w:rPr>
        <w:t>The SmartPLS 4 software package was used throughout the SEM analysis. Examining the outcomes provided insight into the roles environmental attitudes and consumer behaviour play in decision-making regarding the purchase of eco-friendly packaging.</w:t>
      </w:r>
    </w:p>
    <w:p w14:paraId="0AEB027B" w14:textId="65F144CB" w:rsidR="003A0028" w:rsidRPr="00482FCC" w:rsidRDefault="009A4E32" w:rsidP="003661BB">
      <w:pPr>
        <w:spacing w:line="360" w:lineRule="auto"/>
        <w:jc w:val="both"/>
        <w:rPr>
          <w:rFonts w:ascii="Times New Roman" w:hAnsi="Times New Roman" w:cs="Times New Roman"/>
        </w:rPr>
      </w:pPr>
      <w:r w:rsidRPr="00482FCC">
        <w:rPr>
          <w:rFonts w:ascii="Times New Roman" w:hAnsi="Times New Roman" w:cs="Times New Roman"/>
          <w:b/>
          <w:bCs/>
        </w:rPr>
        <w:t>RESULT FINDINGS</w:t>
      </w:r>
    </w:p>
    <w:p w14:paraId="6656341D" w14:textId="141A27E9" w:rsidR="000032D6" w:rsidRPr="00482FCC" w:rsidRDefault="00334658" w:rsidP="003661BB">
      <w:pPr>
        <w:spacing w:line="360" w:lineRule="auto"/>
        <w:jc w:val="both"/>
        <w:rPr>
          <w:rFonts w:ascii="Times New Roman" w:hAnsi="Times New Roman" w:cs="Times New Roman"/>
        </w:rPr>
      </w:pPr>
      <w:r w:rsidRPr="00482FCC">
        <w:rPr>
          <w:rFonts w:ascii="Times New Roman" w:hAnsi="Times New Roman" w:cs="Times New Roman"/>
        </w:rPr>
        <w:t xml:space="preserve">This chapter presents the findings from the data collection phase. The goal is to summarise the respondents’ answers and provide a clear interpretation of the outcomes based on the research purpose and hypotheses. </w:t>
      </w:r>
    </w:p>
    <w:p w14:paraId="6B6044CC" w14:textId="0361A7EF" w:rsidR="008C3FC9" w:rsidRPr="00482FCC" w:rsidRDefault="006D5E71" w:rsidP="003661BB">
      <w:pPr>
        <w:spacing w:line="360" w:lineRule="auto"/>
        <w:jc w:val="both"/>
        <w:rPr>
          <w:rFonts w:ascii="Times New Roman" w:hAnsi="Times New Roman" w:cs="Times New Roman"/>
        </w:rPr>
      </w:pPr>
      <w:r w:rsidRPr="00482FCC">
        <w:rPr>
          <w:rFonts w:ascii="Times New Roman" w:hAnsi="Times New Roman" w:cs="Times New Roman"/>
        </w:rPr>
        <w:t>Fig 1</w:t>
      </w:r>
    </w:p>
    <w:p w14:paraId="64BDBF86" w14:textId="79C78E81" w:rsidR="00B83AE3" w:rsidRPr="00482FCC" w:rsidRDefault="00B83AE3" w:rsidP="003661BB">
      <w:pPr>
        <w:spacing w:line="360" w:lineRule="auto"/>
        <w:jc w:val="both"/>
        <w:rPr>
          <w:rFonts w:ascii="Times New Roman" w:hAnsi="Times New Roman" w:cs="Times New Roman"/>
        </w:rPr>
      </w:pPr>
      <w:r w:rsidRPr="00482FCC">
        <w:rPr>
          <w:rFonts w:ascii="Times New Roman" w:hAnsi="Times New Roman" w:cs="Times New Roman"/>
        </w:rPr>
        <w:t>Structural Equation Model</w:t>
      </w:r>
    </w:p>
    <w:p w14:paraId="0954B702" w14:textId="373EA67E" w:rsidR="008C3FC9" w:rsidRPr="00482FCC" w:rsidRDefault="00B15226" w:rsidP="000032D6">
      <w:pPr>
        <w:spacing w:line="240" w:lineRule="auto"/>
        <w:jc w:val="both"/>
        <w:rPr>
          <w:rFonts w:ascii="Times New Roman" w:hAnsi="Times New Roman" w:cs="Times New Roman"/>
        </w:rPr>
      </w:pPr>
      <w:r w:rsidRPr="00482FCC">
        <w:rPr>
          <w:rFonts w:ascii="Times New Roman" w:hAnsi="Times New Roman" w:cs="Times New Roman"/>
          <w:noProof/>
        </w:rPr>
        <w:lastRenderedPageBreak/>
        <w:drawing>
          <wp:inline distT="0" distB="0" distL="0" distR="0" wp14:anchorId="798607D0" wp14:editId="703A8200">
            <wp:extent cx="5731510" cy="3180080"/>
            <wp:effectExtent l="0" t="0" r="2540" b="1270"/>
            <wp:docPr id="39093467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1510" cy="3180080"/>
                    </a:xfrm>
                    <a:prstGeom prst="rect">
                      <a:avLst/>
                    </a:prstGeom>
                    <a:noFill/>
                    <a:ln>
                      <a:noFill/>
                    </a:ln>
                  </pic:spPr>
                </pic:pic>
              </a:graphicData>
            </a:graphic>
          </wp:inline>
        </w:drawing>
      </w:r>
    </w:p>
    <w:p w14:paraId="796C3075" w14:textId="05D4102D" w:rsidR="000B2190" w:rsidRPr="00482FCC" w:rsidRDefault="00B83AE3" w:rsidP="003661BB">
      <w:pPr>
        <w:spacing w:line="360" w:lineRule="auto"/>
        <w:jc w:val="both"/>
        <w:rPr>
          <w:rFonts w:ascii="Times New Roman" w:hAnsi="Times New Roman" w:cs="Times New Roman"/>
        </w:rPr>
      </w:pPr>
      <w:r w:rsidRPr="00482FCC">
        <w:rPr>
          <w:rFonts w:ascii="Times New Roman" w:hAnsi="Times New Roman" w:cs="Times New Roman"/>
          <w:b/>
          <w:bCs/>
        </w:rPr>
        <w:t>Source:</w:t>
      </w:r>
      <w:r w:rsidRPr="00482FCC">
        <w:rPr>
          <w:rFonts w:ascii="Times New Roman" w:hAnsi="Times New Roman" w:cs="Times New Roman"/>
        </w:rPr>
        <w:t xml:space="preserve"> Smart Pls 4 Output (2025).</w:t>
      </w:r>
    </w:p>
    <w:p w14:paraId="3A10950F" w14:textId="5B78967B" w:rsidR="00B15226" w:rsidRPr="00482FCC" w:rsidRDefault="00B15226" w:rsidP="003661BB">
      <w:pPr>
        <w:spacing w:line="360" w:lineRule="auto"/>
        <w:jc w:val="both"/>
        <w:rPr>
          <w:rFonts w:ascii="Times New Roman" w:hAnsi="Times New Roman" w:cs="Times New Roman"/>
          <w:b/>
          <w:bCs/>
        </w:rPr>
      </w:pPr>
      <w:r w:rsidRPr="00482FCC">
        <w:rPr>
          <w:rFonts w:ascii="Times New Roman" w:hAnsi="Times New Roman" w:cs="Times New Roman"/>
          <w:b/>
          <w:bCs/>
        </w:rPr>
        <w:t>Table 1</w:t>
      </w:r>
    </w:p>
    <w:p w14:paraId="09FC3A86" w14:textId="6E367417" w:rsidR="008C3FC9" w:rsidRPr="00482FCC" w:rsidRDefault="008C3FC9" w:rsidP="003661BB">
      <w:pPr>
        <w:spacing w:line="360" w:lineRule="auto"/>
        <w:jc w:val="both"/>
        <w:rPr>
          <w:rFonts w:ascii="Times New Roman" w:hAnsi="Times New Roman" w:cs="Times New Roman"/>
          <w:b/>
          <w:bCs/>
          <w:i/>
          <w:iCs/>
        </w:rPr>
      </w:pPr>
      <w:r w:rsidRPr="00482FCC">
        <w:rPr>
          <w:rFonts w:ascii="Times New Roman" w:hAnsi="Times New Roman" w:cs="Times New Roman"/>
          <w:b/>
          <w:bCs/>
          <w:i/>
          <w:iCs/>
        </w:rPr>
        <w:t xml:space="preserve">Path </w:t>
      </w:r>
      <w:r w:rsidR="00B15226" w:rsidRPr="00482FCC">
        <w:rPr>
          <w:rFonts w:ascii="Times New Roman" w:hAnsi="Times New Roman" w:cs="Times New Roman"/>
          <w:b/>
          <w:bCs/>
          <w:i/>
          <w:iCs/>
        </w:rPr>
        <w:t>Coefficient</w:t>
      </w:r>
    </w:p>
    <w:tbl>
      <w:tblPr>
        <w:tblW w:w="5000" w:type="pct"/>
        <w:tblCellMar>
          <w:top w:w="15" w:type="dxa"/>
          <w:left w:w="15" w:type="dxa"/>
          <w:bottom w:w="15" w:type="dxa"/>
          <w:right w:w="15" w:type="dxa"/>
        </w:tblCellMar>
        <w:tblLook w:val="04A0" w:firstRow="1" w:lastRow="0" w:firstColumn="1" w:lastColumn="0" w:noHBand="0" w:noVBand="1"/>
      </w:tblPr>
      <w:tblGrid>
        <w:gridCol w:w="2351"/>
        <w:gridCol w:w="1299"/>
        <w:gridCol w:w="1173"/>
        <w:gridCol w:w="1528"/>
        <w:gridCol w:w="1747"/>
        <w:gridCol w:w="912"/>
      </w:tblGrid>
      <w:tr w:rsidR="007B664D" w:rsidRPr="00482FCC" w14:paraId="59AD38F9" w14:textId="77777777" w:rsidTr="008C3FC9">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83BA91A" w14:textId="77777777" w:rsidR="008C3FC9" w:rsidRPr="00482FCC" w:rsidRDefault="008C3FC9" w:rsidP="000032D6">
            <w:pPr>
              <w:spacing w:line="240" w:lineRule="auto"/>
              <w:jc w:val="both"/>
              <w:rPr>
                <w:rFonts w:ascii="Times New Roman" w:hAnsi="Times New Roman" w:cs="Times New Roman"/>
              </w:rPr>
            </w:pP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3D34269" w14:textId="77777777" w:rsidR="008C3FC9" w:rsidRPr="00482FCC" w:rsidRDefault="008C3FC9" w:rsidP="000032D6">
            <w:pPr>
              <w:spacing w:line="240" w:lineRule="auto"/>
              <w:jc w:val="both"/>
              <w:rPr>
                <w:rFonts w:ascii="Times New Roman" w:hAnsi="Times New Roman" w:cs="Times New Roman"/>
                <w:b/>
                <w:bCs/>
              </w:rPr>
            </w:pPr>
            <w:r w:rsidRPr="00482FCC">
              <w:rPr>
                <w:rFonts w:ascii="Times New Roman" w:hAnsi="Times New Roman" w:cs="Times New Roman"/>
                <w:b/>
                <w:bCs/>
              </w:rPr>
              <w:t xml:space="preserve">Original sample (O)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AA76233" w14:textId="77777777" w:rsidR="008C3FC9" w:rsidRPr="00482FCC" w:rsidRDefault="008C3FC9" w:rsidP="000032D6">
            <w:pPr>
              <w:spacing w:line="240" w:lineRule="auto"/>
              <w:jc w:val="both"/>
              <w:rPr>
                <w:rFonts w:ascii="Times New Roman" w:hAnsi="Times New Roman" w:cs="Times New Roman"/>
                <w:b/>
                <w:bCs/>
              </w:rPr>
            </w:pPr>
            <w:r w:rsidRPr="00482FCC">
              <w:rPr>
                <w:rFonts w:ascii="Times New Roman" w:hAnsi="Times New Roman" w:cs="Times New Roman"/>
                <w:b/>
                <w:bCs/>
              </w:rPr>
              <w:t xml:space="preserve">Sample mean (M)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26F373C" w14:textId="77777777" w:rsidR="008C3FC9" w:rsidRPr="00482FCC" w:rsidRDefault="008C3FC9" w:rsidP="000032D6">
            <w:pPr>
              <w:spacing w:line="240" w:lineRule="auto"/>
              <w:jc w:val="both"/>
              <w:rPr>
                <w:rFonts w:ascii="Times New Roman" w:hAnsi="Times New Roman" w:cs="Times New Roman"/>
                <w:b/>
                <w:bCs/>
              </w:rPr>
            </w:pPr>
            <w:r w:rsidRPr="00482FCC">
              <w:rPr>
                <w:rFonts w:ascii="Times New Roman" w:hAnsi="Times New Roman" w:cs="Times New Roman"/>
                <w:b/>
                <w:bCs/>
              </w:rPr>
              <w:t xml:space="preserve">Standard deviation (STDEV)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FA6EA89" w14:textId="77777777" w:rsidR="008C3FC9" w:rsidRPr="00482FCC" w:rsidRDefault="008C3FC9" w:rsidP="000032D6">
            <w:pPr>
              <w:spacing w:line="240" w:lineRule="auto"/>
              <w:jc w:val="both"/>
              <w:rPr>
                <w:rFonts w:ascii="Times New Roman" w:hAnsi="Times New Roman" w:cs="Times New Roman"/>
                <w:b/>
                <w:bCs/>
              </w:rPr>
            </w:pPr>
            <w:r w:rsidRPr="00482FCC">
              <w:rPr>
                <w:rFonts w:ascii="Times New Roman" w:hAnsi="Times New Roman" w:cs="Times New Roman"/>
                <w:b/>
                <w:bCs/>
              </w:rPr>
              <w:t xml:space="preserve">T statistics (|O/STDEV|)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1807FA2" w14:textId="77777777" w:rsidR="008C3FC9" w:rsidRPr="00482FCC" w:rsidRDefault="008C3FC9" w:rsidP="000032D6">
            <w:pPr>
              <w:spacing w:line="240" w:lineRule="auto"/>
              <w:jc w:val="both"/>
              <w:rPr>
                <w:rFonts w:ascii="Times New Roman" w:hAnsi="Times New Roman" w:cs="Times New Roman"/>
                <w:b/>
                <w:bCs/>
              </w:rPr>
            </w:pPr>
            <w:r w:rsidRPr="00482FCC">
              <w:rPr>
                <w:rFonts w:ascii="Times New Roman" w:hAnsi="Times New Roman" w:cs="Times New Roman"/>
                <w:b/>
                <w:bCs/>
              </w:rPr>
              <w:t xml:space="preserve">P values </w:t>
            </w:r>
          </w:p>
        </w:tc>
      </w:tr>
      <w:tr w:rsidR="007B664D" w:rsidRPr="00482FCC" w14:paraId="70C8C1EB" w14:textId="77777777" w:rsidTr="008C3FC9">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56FA177" w14:textId="3DB334AC" w:rsidR="008C3FC9" w:rsidRPr="00482FCC" w:rsidRDefault="008C3FC9" w:rsidP="000032D6">
            <w:pPr>
              <w:spacing w:line="240" w:lineRule="auto"/>
              <w:jc w:val="both"/>
              <w:rPr>
                <w:rFonts w:ascii="Times New Roman" w:hAnsi="Times New Roman" w:cs="Times New Roman"/>
                <w:b/>
                <w:bCs/>
              </w:rPr>
            </w:pPr>
            <w:r w:rsidRPr="00482FCC">
              <w:rPr>
                <w:rFonts w:ascii="Times New Roman" w:hAnsi="Times New Roman" w:cs="Times New Roman"/>
                <w:b/>
                <w:bCs/>
              </w:rPr>
              <w:t xml:space="preserve">Environmental labelling -&gt; Consumer willingness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692397C" w14:textId="77777777" w:rsidR="008C3FC9" w:rsidRPr="00482FCC" w:rsidRDefault="008C3FC9" w:rsidP="000032D6">
            <w:pPr>
              <w:spacing w:line="240" w:lineRule="auto"/>
              <w:jc w:val="both"/>
              <w:rPr>
                <w:rFonts w:ascii="Times New Roman" w:hAnsi="Times New Roman" w:cs="Times New Roman"/>
              </w:rPr>
            </w:pPr>
            <w:r w:rsidRPr="00482FCC">
              <w:rPr>
                <w:rFonts w:ascii="Times New Roman" w:hAnsi="Times New Roman" w:cs="Times New Roman"/>
              </w:rPr>
              <w:t xml:space="preserve">0.483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2B40910" w14:textId="77777777" w:rsidR="008C3FC9" w:rsidRPr="00482FCC" w:rsidRDefault="008C3FC9" w:rsidP="000032D6">
            <w:pPr>
              <w:spacing w:line="240" w:lineRule="auto"/>
              <w:jc w:val="both"/>
              <w:rPr>
                <w:rFonts w:ascii="Times New Roman" w:hAnsi="Times New Roman" w:cs="Times New Roman"/>
              </w:rPr>
            </w:pPr>
            <w:r w:rsidRPr="00482FCC">
              <w:rPr>
                <w:rFonts w:ascii="Times New Roman" w:hAnsi="Times New Roman" w:cs="Times New Roman"/>
              </w:rPr>
              <w:t xml:space="preserve">0.301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FCC7B70" w14:textId="77777777" w:rsidR="008C3FC9" w:rsidRPr="00482FCC" w:rsidRDefault="008C3FC9" w:rsidP="000032D6">
            <w:pPr>
              <w:spacing w:line="240" w:lineRule="auto"/>
              <w:jc w:val="both"/>
              <w:rPr>
                <w:rFonts w:ascii="Times New Roman" w:hAnsi="Times New Roman" w:cs="Times New Roman"/>
              </w:rPr>
            </w:pPr>
            <w:r w:rsidRPr="00482FCC">
              <w:rPr>
                <w:rFonts w:ascii="Times New Roman" w:hAnsi="Times New Roman" w:cs="Times New Roman"/>
              </w:rPr>
              <w:t xml:space="preserve">0.369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2A83C40" w14:textId="77777777" w:rsidR="008C3FC9" w:rsidRPr="00482FCC" w:rsidRDefault="008C3FC9" w:rsidP="000032D6">
            <w:pPr>
              <w:spacing w:line="240" w:lineRule="auto"/>
              <w:jc w:val="both"/>
              <w:rPr>
                <w:rFonts w:ascii="Times New Roman" w:hAnsi="Times New Roman" w:cs="Times New Roman"/>
              </w:rPr>
            </w:pPr>
            <w:r w:rsidRPr="00482FCC">
              <w:rPr>
                <w:rFonts w:ascii="Times New Roman" w:hAnsi="Times New Roman" w:cs="Times New Roman"/>
              </w:rPr>
              <w:t xml:space="preserve">1.308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B1C1E72" w14:textId="77777777" w:rsidR="008C3FC9" w:rsidRPr="00482FCC" w:rsidRDefault="008C3FC9" w:rsidP="000032D6">
            <w:pPr>
              <w:spacing w:line="240" w:lineRule="auto"/>
              <w:jc w:val="both"/>
              <w:rPr>
                <w:rFonts w:ascii="Times New Roman" w:hAnsi="Times New Roman" w:cs="Times New Roman"/>
              </w:rPr>
            </w:pPr>
            <w:r w:rsidRPr="00482FCC">
              <w:rPr>
                <w:rFonts w:ascii="Times New Roman" w:hAnsi="Times New Roman" w:cs="Times New Roman"/>
              </w:rPr>
              <w:t xml:space="preserve">0.191 </w:t>
            </w:r>
          </w:p>
        </w:tc>
      </w:tr>
      <w:tr w:rsidR="007B664D" w:rsidRPr="00482FCC" w14:paraId="6632DE77" w14:textId="77777777" w:rsidTr="008C3FC9">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0C451A6" w14:textId="77777777" w:rsidR="008C3FC9" w:rsidRPr="00482FCC" w:rsidRDefault="008C3FC9" w:rsidP="000032D6">
            <w:pPr>
              <w:spacing w:line="240" w:lineRule="auto"/>
              <w:jc w:val="both"/>
              <w:rPr>
                <w:rFonts w:ascii="Times New Roman" w:hAnsi="Times New Roman" w:cs="Times New Roman"/>
                <w:b/>
                <w:bCs/>
              </w:rPr>
            </w:pPr>
            <w:r w:rsidRPr="00482FCC">
              <w:rPr>
                <w:rFonts w:ascii="Times New Roman" w:hAnsi="Times New Roman" w:cs="Times New Roman"/>
                <w:b/>
                <w:bCs/>
              </w:rPr>
              <w:t xml:space="preserve">Packaging reusability -&gt; Consumer willingness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67D421E" w14:textId="77777777" w:rsidR="008C3FC9" w:rsidRPr="00482FCC" w:rsidRDefault="008C3FC9" w:rsidP="000032D6">
            <w:pPr>
              <w:spacing w:line="240" w:lineRule="auto"/>
              <w:jc w:val="both"/>
              <w:rPr>
                <w:rFonts w:ascii="Times New Roman" w:hAnsi="Times New Roman" w:cs="Times New Roman"/>
              </w:rPr>
            </w:pPr>
            <w:r w:rsidRPr="00482FCC">
              <w:rPr>
                <w:rFonts w:ascii="Times New Roman" w:hAnsi="Times New Roman" w:cs="Times New Roman"/>
              </w:rPr>
              <w:t xml:space="preserve">-0.488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E5E598E" w14:textId="77777777" w:rsidR="008C3FC9" w:rsidRPr="00482FCC" w:rsidRDefault="008C3FC9" w:rsidP="000032D6">
            <w:pPr>
              <w:spacing w:line="240" w:lineRule="auto"/>
              <w:jc w:val="both"/>
              <w:rPr>
                <w:rFonts w:ascii="Times New Roman" w:hAnsi="Times New Roman" w:cs="Times New Roman"/>
              </w:rPr>
            </w:pPr>
            <w:r w:rsidRPr="00482FCC">
              <w:rPr>
                <w:rFonts w:ascii="Times New Roman" w:hAnsi="Times New Roman" w:cs="Times New Roman"/>
              </w:rPr>
              <w:t xml:space="preserve">-0.307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49E8290" w14:textId="77777777" w:rsidR="008C3FC9" w:rsidRPr="00482FCC" w:rsidRDefault="008C3FC9" w:rsidP="000032D6">
            <w:pPr>
              <w:spacing w:line="240" w:lineRule="auto"/>
              <w:jc w:val="both"/>
              <w:rPr>
                <w:rFonts w:ascii="Times New Roman" w:hAnsi="Times New Roman" w:cs="Times New Roman"/>
              </w:rPr>
            </w:pPr>
            <w:r w:rsidRPr="00482FCC">
              <w:rPr>
                <w:rFonts w:ascii="Times New Roman" w:hAnsi="Times New Roman" w:cs="Times New Roman"/>
              </w:rPr>
              <w:t xml:space="preserve">0.371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003B065" w14:textId="77777777" w:rsidR="008C3FC9" w:rsidRPr="00482FCC" w:rsidRDefault="008C3FC9" w:rsidP="000032D6">
            <w:pPr>
              <w:spacing w:line="240" w:lineRule="auto"/>
              <w:jc w:val="both"/>
              <w:rPr>
                <w:rFonts w:ascii="Times New Roman" w:hAnsi="Times New Roman" w:cs="Times New Roman"/>
              </w:rPr>
            </w:pPr>
            <w:r w:rsidRPr="00482FCC">
              <w:rPr>
                <w:rFonts w:ascii="Times New Roman" w:hAnsi="Times New Roman" w:cs="Times New Roman"/>
              </w:rPr>
              <w:t xml:space="preserve">1.314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892E39D" w14:textId="77777777" w:rsidR="008C3FC9" w:rsidRPr="00482FCC" w:rsidRDefault="008C3FC9" w:rsidP="000032D6">
            <w:pPr>
              <w:spacing w:line="240" w:lineRule="auto"/>
              <w:jc w:val="both"/>
              <w:rPr>
                <w:rFonts w:ascii="Times New Roman" w:hAnsi="Times New Roman" w:cs="Times New Roman"/>
              </w:rPr>
            </w:pPr>
            <w:r w:rsidRPr="00482FCC">
              <w:rPr>
                <w:rFonts w:ascii="Times New Roman" w:hAnsi="Times New Roman" w:cs="Times New Roman"/>
              </w:rPr>
              <w:t xml:space="preserve">0.189 </w:t>
            </w:r>
          </w:p>
        </w:tc>
      </w:tr>
      <w:tr w:rsidR="007B664D" w:rsidRPr="00482FCC" w14:paraId="0A1D7404" w14:textId="77777777" w:rsidTr="008C3FC9">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88D72AA" w14:textId="77777777" w:rsidR="008C3FC9" w:rsidRPr="00482FCC" w:rsidRDefault="008C3FC9" w:rsidP="000032D6">
            <w:pPr>
              <w:spacing w:line="240" w:lineRule="auto"/>
              <w:jc w:val="both"/>
              <w:rPr>
                <w:rFonts w:ascii="Times New Roman" w:hAnsi="Times New Roman" w:cs="Times New Roman"/>
                <w:b/>
                <w:bCs/>
              </w:rPr>
            </w:pPr>
            <w:r w:rsidRPr="00482FCC">
              <w:rPr>
                <w:rFonts w:ascii="Times New Roman" w:hAnsi="Times New Roman" w:cs="Times New Roman"/>
                <w:b/>
                <w:bCs/>
              </w:rPr>
              <w:t xml:space="preserve">Product safety -&gt; Consumer willingness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574D220" w14:textId="77777777" w:rsidR="008C3FC9" w:rsidRPr="00482FCC" w:rsidRDefault="008C3FC9" w:rsidP="000032D6">
            <w:pPr>
              <w:spacing w:line="240" w:lineRule="auto"/>
              <w:jc w:val="both"/>
              <w:rPr>
                <w:rFonts w:ascii="Times New Roman" w:hAnsi="Times New Roman" w:cs="Times New Roman"/>
              </w:rPr>
            </w:pPr>
            <w:r w:rsidRPr="00482FCC">
              <w:rPr>
                <w:rFonts w:ascii="Times New Roman" w:hAnsi="Times New Roman" w:cs="Times New Roman"/>
              </w:rPr>
              <w:t xml:space="preserve">1.000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DAE04D2" w14:textId="77777777" w:rsidR="008C3FC9" w:rsidRPr="00482FCC" w:rsidRDefault="008C3FC9" w:rsidP="000032D6">
            <w:pPr>
              <w:spacing w:line="240" w:lineRule="auto"/>
              <w:jc w:val="both"/>
              <w:rPr>
                <w:rFonts w:ascii="Times New Roman" w:hAnsi="Times New Roman" w:cs="Times New Roman"/>
              </w:rPr>
            </w:pPr>
            <w:r w:rsidRPr="00482FCC">
              <w:rPr>
                <w:rFonts w:ascii="Times New Roman" w:hAnsi="Times New Roman" w:cs="Times New Roman"/>
              </w:rPr>
              <w:t xml:space="preserve">1.001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7FBB50C" w14:textId="77777777" w:rsidR="008C3FC9" w:rsidRPr="00482FCC" w:rsidRDefault="008C3FC9" w:rsidP="000032D6">
            <w:pPr>
              <w:spacing w:line="240" w:lineRule="auto"/>
              <w:jc w:val="both"/>
              <w:rPr>
                <w:rFonts w:ascii="Times New Roman" w:hAnsi="Times New Roman" w:cs="Times New Roman"/>
              </w:rPr>
            </w:pPr>
            <w:r w:rsidRPr="00482FCC">
              <w:rPr>
                <w:rFonts w:ascii="Times New Roman" w:hAnsi="Times New Roman" w:cs="Times New Roman"/>
              </w:rPr>
              <w:t xml:space="preserve">0.010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E5D4F25" w14:textId="77777777" w:rsidR="008C3FC9" w:rsidRPr="00482FCC" w:rsidRDefault="008C3FC9" w:rsidP="000032D6">
            <w:pPr>
              <w:spacing w:line="240" w:lineRule="auto"/>
              <w:jc w:val="both"/>
              <w:rPr>
                <w:rFonts w:ascii="Times New Roman" w:hAnsi="Times New Roman" w:cs="Times New Roman"/>
              </w:rPr>
            </w:pPr>
            <w:r w:rsidRPr="00482FCC">
              <w:rPr>
                <w:rFonts w:ascii="Times New Roman" w:hAnsi="Times New Roman" w:cs="Times New Roman"/>
              </w:rPr>
              <w:t xml:space="preserve">98.118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CB22AB6" w14:textId="77777777" w:rsidR="008C3FC9" w:rsidRPr="00482FCC" w:rsidRDefault="008C3FC9" w:rsidP="000032D6">
            <w:pPr>
              <w:spacing w:line="240" w:lineRule="auto"/>
              <w:jc w:val="both"/>
              <w:rPr>
                <w:rFonts w:ascii="Times New Roman" w:hAnsi="Times New Roman" w:cs="Times New Roman"/>
              </w:rPr>
            </w:pPr>
            <w:r w:rsidRPr="00482FCC">
              <w:rPr>
                <w:rFonts w:ascii="Times New Roman" w:hAnsi="Times New Roman" w:cs="Times New Roman"/>
              </w:rPr>
              <w:t xml:space="preserve">0.000 </w:t>
            </w:r>
          </w:p>
        </w:tc>
      </w:tr>
    </w:tbl>
    <w:p w14:paraId="0D287ADE" w14:textId="6712B0DF" w:rsidR="008C3FC9" w:rsidRPr="00482FCC" w:rsidRDefault="00755838" w:rsidP="003661BB">
      <w:pPr>
        <w:spacing w:line="360" w:lineRule="auto"/>
        <w:jc w:val="both"/>
        <w:rPr>
          <w:rFonts w:ascii="Times New Roman" w:hAnsi="Times New Roman" w:cs="Times New Roman"/>
        </w:rPr>
      </w:pPr>
      <w:r w:rsidRPr="00482FCC">
        <w:rPr>
          <w:rFonts w:ascii="Times New Roman" w:hAnsi="Times New Roman" w:cs="Times New Roman"/>
          <w:b/>
          <w:bCs/>
        </w:rPr>
        <w:t>Source:</w:t>
      </w:r>
      <w:r w:rsidRPr="00482FCC">
        <w:rPr>
          <w:rFonts w:ascii="Times New Roman" w:hAnsi="Times New Roman" w:cs="Times New Roman"/>
        </w:rPr>
        <w:t xml:space="preserve"> Smart Pls 4 Output (2025).</w:t>
      </w:r>
    </w:p>
    <w:p w14:paraId="7926D2A0" w14:textId="0B42DD6C" w:rsidR="00883D74" w:rsidRPr="00482FCC" w:rsidRDefault="00833660" w:rsidP="003661BB">
      <w:pPr>
        <w:spacing w:line="360" w:lineRule="auto"/>
        <w:jc w:val="both"/>
        <w:rPr>
          <w:rFonts w:ascii="Times New Roman" w:hAnsi="Times New Roman" w:cs="Times New Roman"/>
        </w:rPr>
      </w:pPr>
      <w:r w:rsidRPr="00482FCC">
        <w:rPr>
          <w:rFonts w:ascii="Times New Roman" w:hAnsi="Times New Roman" w:cs="Times New Roman"/>
        </w:rPr>
        <w:t xml:space="preserve">The impact of environmental labelling on consumer willingness was positive, although it was not significant enough to be statistically meaningful. Environmental labelling positively influences consumers' willingness, but these effects lack statistical significance (p &gt; 0.05). The reusability of the packaging had a slightly negative influence, though it was also not statistically </w:t>
      </w:r>
      <w:r w:rsidRPr="00482FCC">
        <w:rPr>
          <w:rFonts w:ascii="Times New Roman" w:hAnsi="Times New Roman" w:cs="Times New Roman"/>
        </w:rPr>
        <w:lastRenderedPageBreak/>
        <w:t>significant. While packaging reusability may appear to diminish consumer willingness, this aspect's impact is not supported by statistically significant findings (p &gt; 0.05). In contrast, product safety had a strong, statistically significant positive effect on consumer willingness (p &lt; 0.001). This indicates that product safety exerts a considerable and statistically significant influence on consumer willingness (p &lt; 0.001), underscoring its importance.</w:t>
      </w:r>
    </w:p>
    <w:p w14:paraId="02B38DDF" w14:textId="05C88870" w:rsidR="00C7207C" w:rsidRPr="00482FCC" w:rsidRDefault="006C2362" w:rsidP="003661BB">
      <w:pPr>
        <w:spacing w:line="360" w:lineRule="auto"/>
        <w:jc w:val="both"/>
        <w:rPr>
          <w:rFonts w:ascii="Times New Roman" w:hAnsi="Times New Roman" w:cs="Times New Roman"/>
          <w:b/>
          <w:bCs/>
          <w:vanish/>
        </w:rPr>
      </w:pPr>
      <w:r w:rsidRPr="00482FCC">
        <w:rPr>
          <w:rFonts w:ascii="Times New Roman" w:hAnsi="Times New Roman" w:cs="Times New Roman"/>
          <w:b/>
          <w:bCs/>
        </w:rPr>
        <w:t>Table 2</w:t>
      </w:r>
    </w:p>
    <w:p w14:paraId="2248AB6B" w14:textId="77777777" w:rsidR="00C7207C" w:rsidRPr="00482FCC" w:rsidRDefault="00C7207C" w:rsidP="003661BB">
      <w:pPr>
        <w:spacing w:line="360" w:lineRule="auto"/>
        <w:jc w:val="both"/>
        <w:rPr>
          <w:rFonts w:ascii="Times New Roman" w:hAnsi="Times New Roman" w:cs="Times New Roman"/>
          <w:b/>
          <w:bCs/>
        </w:rPr>
      </w:pPr>
    </w:p>
    <w:p w14:paraId="478FB20E" w14:textId="62A0AEB7" w:rsidR="008C3FC9" w:rsidRPr="00482FCC" w:rsidRDefault="008C3FC9" w:rsidP="003661BB">
      <w:pPr>
        <w:spacing w:line="360" w:lineRule="auto"/>
        <w:jc w:val="both"/>
        <w:rPr>
          <w:rFonts w:ascii="Times New Roman" w:hAnsi="Times New Roman" w:cs="Times New Roman"/>
          <w:b/>
          <w:bCs/>
          <w:i/>
          <w:iCs/>
        </w:rPr>
      </w:pPr>
      <w:r w:rsidRPr="00482FCC">
        <w:rPr>
          <w:rFonts w:ascii="Times New Roman" w:hAnsi="Times New Roman" w:cs="Times New Roman"/>
          <w:b/>
          <w:bCs/>
          <w:i/>
          <w:iCs/>
        </w:rPr>
        <w:t>R</w:t>
      </w:r>
      <w:r w:rsidR="006C2362" w:rsidRPr="00482FCC">
        <w:rPr>
          <w:rFonts w:ascii="Times New Roman" w:hAnsi="Times New Roman" w:cs="Times New Roman"/>
          <w:b/>
          <w:bCs/>
          <w:i/>
          <w:iCs/>
        </w:rPr>
        <w:t>-</w:t>
      </w:r>
      <w:r w:rsidRPr="00482FCC">
        <w:rPr>
          <w:rFonts w:ascii="Times New Roman" w:hAnsi="Times New Roman" w:cs="Times New Roman"/>
          <w:b/>
          <w:bCs/>
          <w:i/>
          <w:iCs/>
        </w:rPr>
        <w:t>square</w:t>
      </w:r>
    </w:p>
    <w:tbl>
      <w:tblPr>
        <w:tblW w:w="5000" w:type="pct"/>
        <w:tblCellMar>
          <w:top w:w="15" w:type="dxa"/>
          <w:left w:w="15" w:type="dxa"/>
          <w:bottom w:w="15" w:type="dxa"/>
          <w:right w:w="15" w:type="dxa"/>
        </w:tblCellMar>
        <w:tblLook w:val="04A0" w:firstRow="1" w:lastRow="0" w:firstColumn="1" w:lastColumn="0" w:noHBand="0" w:noVBand="1"/>
      </w:tblPr>
      <w:tblGrid>
        <w:gridCol w:w="1677"/>
        <w:gridCol w:w="1441"/>
        <w:gridCol w:w="1301"/>
        <w:gridCol w:w="1771"/>
        <w:gridCol w:w="1885"/>
        <w:gridCol w:w="935"/>
      </w:tblGrid>
      <w:tr w:rsidR="008C3FC9" w:rsidRPr="00482FCC" w14:paraId="499CDEFA" w14:textId="77777777" w:rsidTr="008C3FC9">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ADE4AA7" w14:textId="77777777" w:rsidR="008C3FC9" w:rsidRPr="00482FCC" w:rsidRDefault="008C3FC9" w:rsidP="00FD3DB2">
            <w:pPr>
              <w:spacing w:line="240" w:lineRule="auto"/>
              <w:jc w:val="both"/>
              <w:rPr>
                <w:rFonts w:ascii="Times New Roman" w:hAnsi="Times New Roman" w:cs="Times New Roman"/>
              </w:rPr>
            </w:pP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CE2CD39"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Original sample (O)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3E7D468"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Sample mean (M)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FCC654F"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Standard deviation (STDEV)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F576522"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T statistics (|O/STDEV|)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6CFB698"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P values </w:t>
            </w:r>
          </w:p>
        </w:tc>
      </w:tr>
      <w:tr w:rsidR="008C3FC9" w:rsidRPr="00482FCC" w14:paraId="19573BE2" w14:textId="77777777" w:rsidTr="008C3FC9">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222FD08"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Consumer willingness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351D813"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0.990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5DB2545"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0.990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331B623"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0.005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5253009"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216.037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EB0A282"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0.000 </w:t>
            </w:r>
          </w:p>
        </w:tc>
      </w:tr>
    </w:tbl>
    <w:p w14:paraId="3B8A9A38" w14:textId="63D593AD" w:rsidR="00C7207C" w:rsidRPr="00482FCC" w:rsidRDefault="00755838" w:rsidP="00FD3DB2">
      <w:pPr>
        <w:spacing w:line="240" w:lineRule="auto"/>
        <w:jc w:val="both"/>
        <w:rPr>
          <w:rFonts w:ascii="Times New Roman" w:hAnsi="Times New Roman" w:cs="Times New Roman"/>
        </w:rPr>
      </w:pPr>
      <w:r w:rsidRPr="00482FCC">
        <w:rPr>
          <w:rFonts w:ascii="Times New Roman" w:hAnsi="Times New Roman" w:cs="Times New Roman"/>
          <w:b/>
          <w:bCs/>
        </w:rPr>
        <w:t>Source:</w:t>
      </w:r>
      <w:r w:rsidRPr="00482FCC">
        <w:rPr>
          <w:rFonts w:ascii="Times New Roman" w:hAnsi="Times New Roman" w:cs="Times New Roman"/>
        </w:rPr>
        <w:t xml:space="preserve"> Smart Pls 4 Output (2025).</w:t>
      </w:r>
    </w:p>
    <w:p w14:paraId="3805E5EF" w14:textId="606FFF5D" w:rsidR="00334658" w:rsidRPr="000032D6" w:rsidRDefault="00891877" w:rsidP="003661BB">
      <w:pPr>
        <w:spacing w:line="360" w:lineRule="auto"/>
        <w:jc w:val="both"/>
        <w:rPr>
          <w:rFonts w:ascii="Times New Roman" w:hAnsi="Times New Roman" w:cs="Times New Roman"/>
        </w:rPr>
      </w:pPr>
      <w:r w:rsidRPr="00482FCC">
        <w:rPr>
          <w:rFonts w:ascii="Times New Roman" w:hAnsi="Times New Roman" w:cs="Times New Roman"/>
        </w:rPr>
        <w:t>The R-squared value indicates that the model explains 99.0% of the variance in consumer willingness (i.e., through environmental labelling, packaging reusability, and product safety). The R² is notably high and statistically significant (p &lt; 0.001), suggesting the model demonstrates excellent explanatory power.</w:t>
      </w:r>
    </w:p>
    <w:p w14:paraId="506D8F8C" w14:textId="34F50D24" w:rsidR="001C5F2D" w:rsidRPr="00482FCC" w:rsidRDefault="001C5F2D" w:rsidP="003661BB">
      <w:pPr>
        <w:spacing w:line="360" w:lineRule="auto"/>
        <w:jc w:val="both"/>
        <w:rPr>
          <w:rFonts w:ascii="Times New Roman" w:hAnsi="Times New Roman" w:cs="Times New Roman"/>
          <w:b/>
          <w:bCs/>
        </w:rPr>
      </w:pPr>
      <w:r w:rsidRPr="00482FCC">
        <w:rPr>
          <w:rFonts w:ascii="Times New Roman" w:hAnsi="Times New Roman" w:cs="Times New Roman"/>
          <w:b/>
          <w:bCs/>
        </w:rPr>
        <w:t>Table 3</w:t>
      </w:r>
    </w:p>
    <w:p w14:paraId="18BA5E0B" w14:textId="77777777" w:rsidR="00755838" w:rsidRPr="00482FCC" w:rsidRDefault="00755838" w:rsidP="003661BB">
      <w:pPr>
        <w:spacing w:line="360" w:lineRule="auto"/>
        <w:jc w:val="both"/>
        <w:rPr>
          <w:rFonts w:ascii="Times New Roman" w:hAnsi="Times New Roman" w:cs="Times New Roman"/>
          <w:b/>
          <w:bCs/>
          <w:i/>
          <w:iCs/>
        </w:rPr>
      </w:pPr>
      <w:r w:rsidRPr="00482FCC">
        <w:rPr>
          <w:rFonts w:ascii="Times New Roman" w:hAnsi="Times New Roman" w:cs="Times New Roman"/>
          <w:b/>
          <w:bCs/>
          <w:i/>
          <w:iCs/>
        </w:rPr>
        <w:t>F-Square (f²) Effect Sizes</w:t>
      </w:r>
    </w:p>
    <w:tbl>
      <w:tblPr>
        <w:tblW w:w="5000" w:type="pct"/>
        <w:tblCellMar>
          <w:top w:w="15" w:type="dxa"/>
          <w:left w:w="15" w:type="dxa"/>
          <w:bottom w:w="15" w:type="dxa"/>
          <w:right w:w="15" w:type="dxa"/>
        </w:tblCellMar>
        <w:tblLook w:val="04A0" w:firstRow="1" w:lastRow="0" w:firstColumn="1" w:lastColumn="0" w:noHBand="0" w:noVBand="1"/>
      </w:tblPr>
      <w:tblGrid>
        <w:gridCol w:w="2351"/>
        <w:gridCol w:w="1299"/>
        <w:gridCol w:w="1173"/>
        <w:gridCol w:w="1528"/>
        <w:gridCol w:w="1747"/>
        <w:gridCol w:w="912"/>
      </w:tblGrid>
      <w:tr w:rsidR="008C3FC9" w:rsidRPr="00482FCC" w14:paraId="1C6A5ABD" w14:textId="77777777" w:rsidTr="008C3FC9">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9755E59" w14:textId="77777777" w:rsidR="008C3FC9" w:rsidRPr="00482FCC" w:rsidRDefault="008C3FC9" w:rsidP="00FD3DB2">
            <w:pPr>
              <w:spacing w:line="240" w:lineRule="auto"/>
              <w:jc w:val="both"/>
              <w:rPr>
                <w:rFonts w:ascii="Times New Roman" w:hAnsi="Times New Roman" w:cs="Times New Roman"/>
              </w:rPr>
            </w:pP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6B1495C"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Original sample (O)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A581DC5"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Sample mean (M)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17AF61E"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Standard deviation (STDEV)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540B7C9"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T statistics (|O/STDEV|)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ED78086"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P values </w:t>
            </w:r>
          </w:p>
        </w:tc>
      </w:tr>
      <w:tr w:rsidR="008C3FC9" w:rsidRPr="00482FCC" w14:paraId="1C625F83" w14:textId="77777777" w:rsidTr="008C3FC9">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727D822"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Environmental labelling -&gt; Consumer willingness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E9B512B"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0.118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78596AA"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0.115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AF1F2DD"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0.292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EFEF2E9"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0.405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5B99A53"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0.685 </w:t>
            </w:r>
          </w:p>
        </w:tc>
      </w:tr>
      <w:tr w:rsidR="008C3FC9" w:rsidRPr="00482FCC" w14:paraId="2688A8CB" w14:textId="77777777" w:rsidTr="008C3FC9">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4F6D3A6"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Packaging reusability -&gt; Consumer willingness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C223D7B"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0.119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89D57AD"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0.113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7393FF8"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0.288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A57E8CF"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0.412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98B0D43"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0.680 </w:t>
            </w:r>
          </w:p>
        </w:tc>
      </w:tr>
      <w:tr w:rsidR="008C3FC9" w:rsidRPr="00482FCC" w14:paraId="1323F743" w14:textId="77777777" w:rsidTr="008C3FC9">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3C04B56"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Product safety -&gt; Consumer willingness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317090B"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26.460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5C2CCEE"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62.171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D3C8973"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1075.794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671C317"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0.025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55619AE"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0.980 </w:t>
            </w:r>
          </w:p>
        </w:tc>
      </w:tr>
    </w:tbl>
    <w:p w14:paraId="61FDAB50" w14:textId="77068889" w:rsidR="008C3FC9" w:rsidRPr="00482FCC" w:rsidRDefault="00755838" w:rsidP="003661BB">
      <w:pPr>
        <w:spacing w:line="360" w:lineRule="auto"/>
        <w:jc w:val="both"/>
        <w:rPr>
          <w:rFonts w:ascii="Times New Roman" w:hAnsi="Times New Roman" w:cs="Times New Roman"/>
        </w:rPr>
      </w:pPr>
      <w:r w:rsidRPr="00482FCC">
        <w:rPr>
          <w:rFonts w:ascii="Times New Roman" w:hAnsi="Times New Roman" w:cs="Times New Roman"/>
          <w:b/>
          <w:bCs/>
        </w:rPr>
        <w:t>Source:</w:t>
      </w:r>
      <w:r w:rsidRPr="00482FCC">
        <w:rPr>
          <w:rFonts w:ascii="Times New Roman" w:hAnsi="Times New Roman" w:cs="Times New Roman"/>
        </w:rPr>
        <w:t xml:space="preserve"> Smart Pls 4 Output (2025).</w:t>
      </w:r>
    </w:p>
    <w:p w14:paraId="500A442E" w14:textId="2873E260" w:rsidR="003A1717" w:rsidRPr="00FD3DB2" w:rsidRDefault="00891877" w:rsidP="003661BB">
      <w:pPr>
        <w:spacing w:line="360" w:lineRule="auto"/>
        <w:jc w:val="both"/>
        <w:rPr>
          <w:rFonts w:ascii="Times New Roman" w:hAnsi="Times New Roman" w:cs="Times New Roman"/>
        </w:rPr>
      </w:pPr>
      <w:r w:rsidRPr="00482FCC">
        <w:rPr>
          <w:rFonts w:ascii="Times New Roman" w:hAnsi="Times New Roman" w:cs="Times New Roman"/>
        </w:rPr>
        <w:lastRenderedPageBreak/>
        <w:t xml:space="preserve">The size of the impact of each independent or predictor variable on the dependent variable, Consumer Willingness, is shown by F-square (f²). It indicates to what extent each construct accounts for the variance of the dependent variable within the model framework. The effect of environmental labelling on consumer </w:t>
      </w:r>
      <w:r w:rsidR="000D20C2" w:rsidRPr="00482FCC">
        <w:rPr>
          <w:rFonts w:ascii="Times New Roman" w:hAnsi="Times New Roman" w:cs="Times New Roman"/>
        </w:rPr>
        <w:t xml:space="preserve">willingness </w:t>
      </w:r>
      <w:r w:rsidRPr="00482FCC">
        <w:rPr>
          <w:rFonts w:ascii="Times New Roman" w:hAnsi="Times New Roman" w:cs="Times New Roman"/>
        </w:rPr>
        <w:t xml:space="preserve">is statistically insignificant. This confirms the initial evaluation that environmental labelling does not make a meaningful difference in </w:t>
      </w:r>
      <w:r w:rsidR="000D20C2" w:rsidRPr="00482FCC">
        <w:rPr>
          <w:rFonts w:ascii="Times New Roman" w:hAnsi="Times New Roman" w:cs="Times New Roman"/>
        </w:rPr>
        <w:t>our model's explanation</w:t>
      </w:r>
      <w:r w:rsidRPr="00482FCC">
        <w:rPr>
          <w:rFonts w:ascii="Times New Roman" w:hAnsi="Times New Roman" w:cs="Times New Roman"/>
        </w:rPr>
        <w:t xml:space="preserve"> for consumer willingness. The construct of packaging reusability shows a minor effect, and its statistical contribution to explaining consumers’ willingness is not established. Similarly, packaging reusability does not practically contribute significantly to changes in consumer willingness. Although it has a raw f² value of 26.460, which seems excessively high, the </w:t>
      </w:r>
      <w:r w:rsidR="00A95840" w:rsidRPr="00482FCC">
        <w:rPr>
          <w:rFonts w:ascii="Times New Roman" w:hAnsi="Times New Roman" w:cs="Times New Roman"/>
        </w:rPr>
        <w:t>significant</w:t>
      </w:r>
      <w:r w:rsidRPr="00482FCC">
        <w:rPr>
          <w:rFonts w:ascii="Times New Roman" w:hAnsi="Times New Roman" w:cs="Times New Roman"/>
        </w:rPr>
        <w:t xml:space="preserve"> standard deviation and the extremely high p-value (0.980) cast doubt on the validity of this value. However, the model’s role in path analysis raises questions about the reliability of the f² estimate, which may be an artefact of methodological problems and requires further refinement or checking of the model.</w:t>
      </w:r>
    </w:p>
    <w:p w14:paraId="335DEDDB" w14:textId="568234E4" w:rsidR="001C5F2D" w:rsidRPr="00482FCC" w:rsidRDefault="001C5F2D" w:rsidP="003661BB">
      <w:pPr>
        <w:spacing w:line="360" w:lineRule="auto"/>
        <w:jc w:val="both"/>
        <w:rPr>
          <w:rFonts w:ascii="Times New Roman" w:hAnsi="Times New Roman" w:cs="Times New Roman"/>
          <w:b/>
          <w:bCs/>
        </w:rPr>
      </w:pPr>
      <w:r w:rsidRPr="00482FCC">
        <w:rPr>
          <w:rFonts w:ascii="Times New Roman" w:hAnsi="Times New Roman" w:cs="Times New Roman"/>
          <w:b/>
          <w:bCs/>
        </w:rPr>
        <w:t>Table 4</w:t>
      </w:r>
    </w:p>
    <w:p w14:paraId="1933D161" w14:textId="77777777" w:rsidR="001C5F2D" w:rsidRPr="00482FCC" w:rsidRDefault="001C5F2D" w:rsidP="003661BB">
      <w:pPr>
        <w:spacing w:line="360" w:lineRule="auto"/>
        <w:jc w:val="both"/>
        <w:rPr>
          <w:rFonts w:ascii="Times New Roman" w:hAnsi="Times New Roman" w:cs="Times New Roman"/>
          <w:b/>
          <w:bCs/>
          <w:i/>
          <w:iCs/>
        </w:rPr>
      </w:pPr>
      <w:r w:rsidRPr="00482FCC">
        <w:rPr>
          <w:rFonts w:ascii="Times New Roman" w:hAnsi="Times New Roman" w:cs="Times New Roman"/>
          <w:b/>
          <w:bCs/>
          <w:i/>
          <w:iCs/>
        </w:rPr>
        <w:t>Average Variance Extracted (AVE)</w:t>
      </w:r>
    </w:p>
    <w:tbl>
      <w:tblPr>
        <w:tblW w:w="5000" w:type="pct"/>
        <w:tblCellMar>
          <w:top w:w="15" w:type="dxa"/>
          <w:left w:w="15" w:type="dxa"/>
          <w:bottom w:w="15" w:type="dxa"/>
          <w:right w:w="15" w:type="dxa"/>
        </w:tblCellMar>
        <w:tblLook w:val="04A0" w:firstRow="1" w:lastRow="0" w:firstColumn="1" w:lastColumn="0" w:noHBand="0" w:noVBand="1"/>
      </w:tblPr>
      <w:tblGrid>
        <w:gridCol w:w="1994"/>
        <w:gridCol w:w="1374"/>
        <w:gridCol w:w="1241"/>
        <w:gridCol w:w="1657"/>
        <w:gridCol w:w="1820"/>
        <w:gridCol w:w="924"/>
      </w:tblGrid>
      <w:tr w:rsidR="008C3FC9" w:rsidRPr="00482FCC" w14:paraId="5AFD08C2" w14:textId="77777777" w:rsidTr="008C3FC9">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6E4DAAE" w14:textId="77777777" w:rsidR="008C3FC9" w:rsidRPr="00482FCC" w:rsidRDefault="008C3FC9" w:rsidP="00FD3DB2">
            <w:pPr>
              <w:spacing w:line="240" w:lineRule="auto"/>
              <w:jc w:val="both"/>
              <w:rPr>
                <w:rFonts w:ascii="Times New Roman" w:hAnsi="Times New Roman" w:cs="Times New Roman"/>
              </w:rPr>
            </w:pP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4A61F47"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Original sample (O)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40AA701"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Sample mean (M)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7B5C4C2"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Standard deviation (STDEV)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349EF76"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T statistics (|O/STDEV|)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674696C"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P values </w:t>
            </w:r>
          </w:p>
        </w:tc>
      </w:tr>
      <w:tr w:rsidR="008C3FC9" w:rsidRPr="00482FCC" w14:paraId="088CCE69" w14:textId="77777777" w:rsidTr="008C3FC9">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845E0FB"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Consumer willingness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BD4C33D"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0.559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C52F4FE"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0.564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58D9B99"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0.015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49728ED"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38.152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609FF1D"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0.000 </w:t>
            </w:r>
          </w:p>
        </w:tc>
      </w:tr>
      <w:tr w:rsidR="008C3FC9" w:rsidRPr="00482FCC" w14:paraId="4EA47C6F" w14:textId="77777777" w:rsidTr="008C3FC9">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CD74194"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Environmental labelling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8FB7D6C"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0.599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307439E"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0.602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8B9E4C2"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0.015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E89B095"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38.829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3481042"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0.000 </w:t>
            </w:r>
          </w:p>
        </w:tc>
      </w:tr>
      <w:tr w:rsidR="008C3FC9" w:rsidRPr="00482FCC" w14:paraId="707E9863" w14:textId="77777777" w:rsidTr="008C3FC9">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7467A9B" w14:textId="77777777"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Packaging reusability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5DA3C57"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0.597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04999A5"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0.600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297FFB8"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0.016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C3A1933"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37.567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BE58DD2"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0.000 </w:t>
            </w:r>
          </w:p>
        </w:tc>
      </w:tr>
      <w:tr w:rsidR="008C3FC9" w:rsidRPr="00482FCC" w14:paraId="28FD987C" w14:textId="77777777" w:rsidTr="008C3FC9">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3A90BC5" w14:textId="0CC456A0" w:rsidR="008C3FC9" w:rsidRPr="00482FCC" w:rsidRDefault="008C3FC9" w:rsidP="00FD3DB2">
            <w:pPr>
              <w:spacing w:line="240" w:lineRule="auto"/>
              <w:jc w:val="both"/>
              <w:rPr>
                <w:rFonts w:ascii="Times New Roman" w:hAnsi="Times New Roman" w:cs="Times New Roman"/>
                <w:b/>
                <w:bCs/>
              </w:rPr>
            </w:pPr>
            <w:r w:rsidRPr="00482FCC">
              <w:rPr>
                <w:rFonts w:ascii="Times New Roman" w:hAnsi="Times New Roman" w:cs="Times New Roman"/>
                <w:b/>
                <w:bCs/>
              </w:rPr>
              <w:t xml:space="preserve">Product </w:t>
            </w:r>
            <w:r w:rsidR="007A6B61" w:rsidRPr="00482FCC">
              <w:rPr>
                <w:rFonts w:ascii="Times New Roman" w:hAnsi="Times New Roman" w:cs="Times New Roman"/>
                <w:b/>
                <w:bCs/>
              </w:rPr>
              <w:t>Safety</w:t>
            </w:r>
            <w:r w:rsidRPr="00482FCC">
              <w:rPr>
                <w:rFonts w:ascii="Times New Roman" w:hAnsi="Times New Roman" w:cs="Times New Roman"/>
                <w:b/>
                <w:bCs/>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7355D82"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0.564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5510F01"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0.569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1B97DD7"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0.014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41D9132"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39.298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D58212D" w14:textId="77777777" w:rsidR="008C3FC9" w:rsidRPr="00482FCC" w:rsidRDefault="008C3FC9" w:rsidP="00FD3DB2">
            <w:pPr>
              <w:spacing w:line="240" w:lineRule="auto"/>
              <w:jc w:val="both"/>
              <w:rPr>
                <w:rFonts w:ascii="Times New Roman" w:hAnsi="Times New Roman" w:cs="Times New Roman"/>
              </w:rPr>
            </w:pPr>
            <w:r w:rsidRPr="00482FCC">
              <w:rPr>
                <w:rFonts w:ascii="Times New Roman" w:hAnsi="Times New Roman" w:cs="Times New Roman"/>
              </w:rPr>
              <w:t xml:space="preserve">0.000 </w:t>
            </w:r>
          </w:p>
        </w:tc>
      </w:tr>
    </w:tbl>
    <w:p w14:paraId="3EB52E09" w14:textId="77777777" w:rsidR="001C5F2D" w:rsidRPr="00482FCC" w:rsidRDefault="001C5F2D" w:rsidP="003661BB">
      <w:pPr>
        <w:spacing w:line="360" w:lineRule="auto"/>
        <w:jc w:val="both"/>
        <w:rPr>
          <w:rFonts w:ascii="Times New Roman" w:hAnsi="Times New Roman" w:cs="Times New Roman"/>
        </w:rPr>
      </w:pPr>
      <w:r w:rsidRPr="00482FCC">
        <w:rPr>
          <w:rFonts w:ascii="Times New Roman" w:hAnsi="Times New Roman" w:cs="Times New Roman"/>
          <w:b/>
          <w:bCs/>
        </w:rPr>
        <w:t>Source:</w:t>
      </w:r>
      <w:r w:rsidRPr="00482FCC">
        <w:rPr>
          <w:rFonts w:ascii="Times New Roman" w:hAnsi="Times New Roman" w:cs="Times New Roman"/>
        </w:rPr>
        <w:t xml:space="preserve"> Smart Pls 4 Output (2025).</w:t>
      </w:r>
    </w:p>
    <w:p w14:paraId="280EFD73" w14:textId="24C10946" w:rsidR="009378B8" w:rsidRDefault="008F3597" w:rsidP="003661BB">
      <w:pPr>
        <w:spacing w:line="360" w:lineRule="auto"/>
        <w:jc w:val="both"/>
        <w:rPr>
          <w:rFonts w:ascii="Times New Roman" w:hAnsi="Times New Roman" w:cs="Times New Roman"/>
        </w:rPr>
      </w:pPr>
      <w:r w:rsidRPr="00482FCC">
        <w:rPr>
          <w:rFonts w:ascii="Times New Roman" w:hAnsi="Times New Roman" w:cs="Times New Roman"/>
        </w:rPr>
        <w:t xml:space="preserve">The average variance extracted (AVE) ≥ 0.50 indicates acceptable convergent validity, meaning the construct accounts for over half of the variance of its indicators. All constructs exceed the 0.50 average variance extracted threshold, and all p-values are 0.000, indicating that </w:t>
      </w:r>
      <w:r w:rsidR="00585EFB" w:rsidRPr="00482FCC">
        <w:rPr>
          <w:rFonts w:ascii="Times New Roman" w:hAnsi="Times New Roman" w:cs="Times New Roman"/>
        </w:rPr>
        <w:t>this average variance</w:t>
      </w:r>
      <w:r w:rsidRPr="00482FCC">
        <w:rPr>
          <w:rFonts w:ascii="Times New Roman" w:hAnsi="Times New Roman" w:cs="Times New Roman"/>
        </w:rPr>
        <w:t xml:space="preserve"> extracted estimates are statistically significant and stable.</w:t>
      </w:r>
    </w:p>
    <w:p w14:paraId="462A556A" w14:textId="77777777" w:rsidR="000C10FC" w:rsidRDefault="000C10FC" w:rsidP="003661BB">
      <w:pPr>
        <w:spacing w:line="360" w:lineRule="auto"/>
        <w:jc w:val="both"/>
        <w:rPr>
          <w:rFonts w:ascii="Times New Roman" w:hAnsi="Times New Roman" w:cs="Times New Roman"/>
        </w:rPr>
      </w:pPr>
    </w:p>
    <w:p w14:paraId="7D617AA1" w14:textId="77777777" w:rsidR="000C10FC" w:rsidRPr="00482FCC" w:rsidRDefault="000C10FC" w:rsidP="003661BB">
      <w:pPr>
        <w:spacing w:line="360" w:lineRule="auto"/>
        <w:jc w:val="both"/>
        <w:rPr>
          <w:rFonts w:ascii="Times New Roman" w:hAnsi="Times New Roman" w:cs="Times New Roman"/>
        </w:rPr>
      </w:pPr>
    </w:p>
    <w:p w14:paraId="0220CCE0" w14:textId="7EFAD496" w:rsidR="008C3FC9" w:rsidRPr="00482FCC" w:rsidRDefault="001C5F2D" w:rsidP="003661BB">
      <w:pPr>
        <w:spacing w:line="360" w:lineRule="auto"/>
        <w:jc w:val="both"/>
        <w:rPr>
          <w:rFonts w:ascii="Times New Roman" w:hAnsi="Times New Roman" w:cs="Times New Roman"/>
          <w:b/>
          <w:bCs/>
        </w:rPr>
      </w:pPr>
      <w:r w:rsidRPr="00482FCC">
        <w:rPr>
          <w:rFonts w:ascii="Times New Roman" w:hAnsi="Times New Roman" w:cs="Times New Roman"/>
          <w:b/>
          <w:bCs/>
        </w:rPr>
        <w:lastRenderedPageBreak/>
        <w:t>Table 5</w:t>
      </w:r>
    </w:p>
    <w:p w14:paraId="1A05D5D4" w14:textId="38C8519F" w:rsidR="008C3FC9" w:rsidRPr="00482FCC" w:rsidRDefault="008C3FC9" w:rsidP="003661BB">
      <w:pPr>
        <w:spacing w:line="360" w:lineRule="auto"/>
        <w:jc w:val="both"/>
        <w:rPr>
          <w:rFonts w:ascii="Times New Roman" w:hAnsi="Times New Roman" w:cs="Times New Roman"/>
          <w:b/>
          <w:bCs/>
          <w:i/>
          <w:iCs/>
        </w:rPr>
      </w:pPr>
      <w:r w:rsidRPr="00482FCC">
        <w:rPr>
          <w:rFonts w:ascii="Times New Roman" w:hAnsi="Times New Roman" w:cs="Times New Roman"/>
          <w:b/>
          <w:bCs/>
          <w:i/>
          <w:iCs/>
        </w:rPr>
        <w:t>Composite</w:t>
      </w:r>
      <w:r w:rsidR="0014686B" w:rsidRPr="00482FCC">
        <w:rPr>
          <w:rFonts w:ascii="Times New Roman" w:hAnsi="Times New Roman" w:cs="Times New Roman"/>
          <w:b/>
          <w:bCs/>
          <w:i/>
          <w:iCs/>
        </w:rPr>
        <w:t xml:space="preserve"> Reliability</w:t>
      </w:r>
    </w:p>
    <w:tbl>
      <w:tblPr>
        <w:tblW w:w="5000" w:type="pct"/>
        <w:tblCellMar>
          <w:top w:w="15" w:type="dxa"/>
          <w:left w:w="15" w:type="dxa"/>
          <w:bottom w:w="15" w:type="dxa"/>
          <w:right w:w="15" w:type="dxa"/>
        </w:tblCellMar>
        <w:tblLook w:val="04A0" w:firstRow="1" w:lastRow="0" w:firstColumn="1" w:lastColumn="0" w:noHBand="0" w:noVBand="1"/>
      </w:tblPr>
      <w:tblGrid>
        <w:gridCol w:w="2013"/>
        <w:gridCol w:w="1370"/>
        <w:gridCol w:w="1237"/>
        <w:gridCol w:w="1650"/>
        <w:gridCol w:w="1816"/>
        <w:gridCol w:w="924"/>
      </w:tblGrid>
      <w:tr w:rsidR="008C3FC9" w:rsidRPr="00482FCC" w14:paraId="352D2130" w14:textId="77777777" w:rsidTr="008C3FC9">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6E34E9D" w14:textId="77777777" w:rsidR="008C3FC9" w:rsidRPr="00482FCC" w:rsidRDefault="008C3FC9" w:rsidP="00BE0156">
            <w:pPr>
              <w:spacing w:line="240" w:lineRule="auto"/>
              <w:jc w:val="both"/>
              <w:rPr>
                <w:rFonts w:ascii="Times New Roman" w:hAnsi="Times New Roman" w:cs="Times New Roman"/>
              </w:rPr>
            </w:pP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94BDE11" w14:textId="77777777" w:rsidR="008C3FC9" w:rsidRPr="00482FCC" w:rsidRDefault="008C3FC9" w:rsidP="00BE0156">
            <w:pPr>
              <w:spacing w:line="240" w:lineRule="auto"/>
              <w:jc w:val="both"/>
              <w:rPr>
                <w:rFonts w:ascii="Times New Roman" w:hAnsi="Times New Roman" w:cs="Times New Roman"/>
                <w:b/>
                <w:bCs/>
              </w:rPr>
            </w:pPr>
            <w:r w:rsidRPr="00482FCC">
              <w:rPr>
                <w:rFonts w:ascii="Times New Roman" w:hAnsi="Times New Roman" w:cs="Times New Roman"/>
                <w:b/>
                <w:bCs/>
              </w:rPr>
              <w:t xml:space="preserve">Original sample (O)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E92DD8F" w14:textId="77777777" w:rsidR="008C3FC9" w:rsidRPr="00482FCC" w:rsidRDefault="008C3FC9" w:rsidP="00BE0156">
            <w:pPr>
              <w:spacing w:line="240" w:lineRule="auto"/>
              <w:jc w:val="both"/>
              <w:rPr>
                <w:rFonts w:ascii="Times New Roman" w:hAnsi="Times New Roman" w:cs="Times New Roman"/>
                <w:b/>
                <w:bCs/>
              </w:rPr>
            </w:pPr>
            <w:r w:rsidRPr="00482FCC">
              <w:rPr>
                <w:rFonts w:ascii="Times New Roman" w:hAnsi="Times New Roman" w:cs="Times New Roman"/>
                <w:b/>
                <w:bCs/>
              </w:rPr>
              <w:t xml:space="preserve">Sample mean (M)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34A974F" w14:textId="77777777" w:rsidR="008C3FC9" w:rsidRPr="00482FCC" w:rsidRDefault="008C3FC9" w:rsidP="00BE0156">
            <w:pPr>
              <w:spacing w:line="240" w:lineRule="auto"/>
              <w:jc w:val="both"/>
              <w:rPr>
                <w:rFonts w:ascii="Times New Roman" w:hAnsi="Times New Roman" w:cs="Times New Roman"/>
                <w:b/>
                <w:bCs/>
              </w:rPr>
            </w:pPr>
            <w:r w:rsidRPr="00482FCC">
              <w:rPr>
                <w:rFonts w:ascii="Times New Roman" w:hAnsi="Times New Roman" w:cs="Times New Roman"/>
                <w:b/>
                <w:bCs/>
              </w:rPr>
              <w:t xml:space="preserve">Standard deviation (STDEV)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F9B7BCD" w14:textId="77777777" w:rsidR="008C3FC9" w:rsidRPr="00482FCC" w:rsidRDefault="008C3FC9" w:rsidP="00BE0156">
            <w:pPr>
              <w:spacing w:line="240" w:lineRule="auto"/>
              <w:jc w:val="both"/>
              <w:rPr>
                <w:rFonts w:ascii="Times New Roman" w:hAnsi="Times New Roman" w:cs="Times New Roman"/>
                <w:b/>
                <w:bCs/>
              </w:rPr>
            </w:pPr>
            <w:r w:rsidRPr="00482FCC">
              <w:rPr>
                <w:rFonts w:ascii="Times New Roman" w:hAnsi="Times New Roman" w:cs="Times New Roman"/>
                <w:b/>
                <w:bCs/>
              </w:rPr>
              <w:t xml:space="preserve">T statistics (|O/STDEV|)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AE959F7" w14:textId="77777777" w:rsidR="008C3FC9" w:rsidRPr="00482FCC" w:rsidRDefault="008C3FC9" w:rsidP="00BE0156">
            <w:pPr>
              <w:spacing w:line="240" w:lineRule="auto"/>
              <w:jc w:val="both"/>
              <w:rPr>
                <w:rFonts w:ascii="Times New Roman" w:hAnsi="Times New Roman" w:cs="Times New Roman"/>
                <w:b/>
                <w:bCs/>
              </w:rPr>
            </w:pPr>
            <w:r w:rsidRPr="00482FCC">
              <w:rPr>
                <w:rFonts w:ascii="Times New Roman" w:hAnsi="Times New Roman" w:cs="Times New Roman"/>
                <w:b/>
                <w:bCs/>
              </w:rPr>
              <w:t xml:space="preserve">P values </w:t>
            </w:r>
          </w:p>
        </w:tc>
      </w:tr>
      <w:tr w:rsidR="008C3FC9" w:rsidRPr="00482FCC" w14:paraId="4E0BC23A" w14:textId="77777777" w:rsidTr="008C3FC9">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F5EFAB8" w14:textId="7E80C159" w:rsidR="008C3FC9" w:rsidRPr="00482FCC" w:rsidRDefault="008C3FC9" w:rsidP="00BE0156">
            <w:pPr>
              <w:spacing w:line="240" w:lineRule="auto"/>
              <w:jc w:val="both"/>
              <w:rPr>
                <w:rFonts w:ascii="Times New Roman" w:hAnsi="Times New Roman" w:cs="Times New Roman"/>
                <w:b/>
                <w:bCs/>
              </w:rPr>
            </w:pPr>
            <w:r w:rsidRPr="00482FCC">
              <w:rPr>
                <w:rFonts w:ascii="Times New Roman" w:hAnsi="Times New Roman" w:cs="Times New Roman"/>
                <w:b/>
                <w:bCs/>
              </w:rPr>
              <w:t xml:space="preserve">Consumer </w:t>
            </w:r>
            <w:r w:rsidR="00A2188C" w:rsidRPr="00482FCC">
              <w:rPr>
                <w:rFonts w:ascii="Times New Roman" w:hAnsi="Times New Roman" w:cs="Times New Roman"/>
                <w:b/>
                <w:bCs/>
              </w:rPr>
              <w:t>W</w:t>
            </w:r>
            <w:r w:rsidRPr="00482FCC">
              <w:rPr>
                <w:rFonts w:ascii="Times New Roman" w:hAnsi="Times New Roman" w:cs="Times New Roman"/>
                <w:b/>
                <w:bCs/>
              </w:rPr>
              <w:t xml:space="preserve">illingness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9C514E0" w14:textId="77777777" w:rsidR="008C3FC9" w:rsidRPr="00482FCC" w:rsidRDefault="008C3FC9" w:rsidP="00BE0156">
            <w:pPr>
              <w:spacing w:line="240" w:lineRule="auto"/>
              <w:jc w:val="both"/>
              <w:rPr>
                <w:rFonts w:ascii="Times New Roman" w:hAnsi="Times New Roman" w:cs="Times New Roman"/>
              </w:rPr>
            </w:pPr>
            <w:r w:rsidRPr="00482FCC">
              <w:rPr>
                <w:rFonts w:ascii="Times New Roman" w:hAnsi="Times New Roman" w:cs="Times New Roman"/>
              </w:rPr>
              <w:t xml:space="preserve">0.718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8BE9969" w14:textId="77777777" w:rsidR="008C3FC9" w:rsidRPr="00482FCC" w:rsidRDefault="008C3FC9" w:rsidP="00BE0156">
            <w:pPr>
              <w:spacing w:line="240" w:lineRule="auto"/>
              <w:jc w:val="both"/>
              <w:rPr>
                <w:rFonts w:ascii="Times New Roman" w:hAnsi="Times New Roman" w:cs="Times New Roman"/>
              </w:rPr>
            </w:pPr>
            <w:r w:rsidRPr="00482FCC">
              <w:rPr>
                <w:rFonts w:ascii="Times New Roman" w:hAnsi="Times New Roman" w:cs="Times New Roman"/>
              </w:rPr>
              <w:t xml:space="preserve">0.710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310284A" w14:textId="77777777" w:rsidR="008C3FC9" w:rsidRPr="00482FCC" w:rsidRDefault="008C3FC9" w:rsidP="00BE0156">
            <w:pPr>
              <w:spacing w:line="240" w:lineRule="auto"/>
              <w:jc w:val="both"/>
              <w:rPr>
                <w:rFonts w:ascii="Times New Roman" w:hAnsi="Times New Roman" w:cs="Times New Roman"/>
              </w:rPr>
            </w:pPr>
            <w:r w:rsidRPr="00482FCC">
              <w:rPr>
                <w:rFonts w:ascii="Times New Roman" w:hAnsi="Times New Roman" w:cs="Times New Roman"/>
              </w:rPr>
              <w:t xml:space="preserve">0.045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DE65BE0" w14:textId="77777777" w:rsidR="008C3FC9" w:rsidRPr="00482FCC" w:rsidRDefault="008C3FC9" w:rsidP="00BE0156">
            <w:pPr>
              <w:spacing w:line="240" w:lineRule="auto"/>
              <w:jc w:val="both"/>
              <w:rPr>
                <w:rFonts w:ascii="Times New Roman" w:hAnsi="Times New Roman" w:cs="Times New Roman"/>
              </w:rPr>
            </w:pPr>
            <w:r w:rsidRPr="00482FCC">
              <w:rPr>
                <w:rFonts w:ascii="Times New Roman" w:hAnsi="Times New Roman" w:cs="Times New Roman"/>
              </w:rPr>
              <w:t xml:space="preserve">15.830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95F74AC" w14:textId="77777777" w:rsidR="008C3FC9" w:rsidRPr="00482FCC" w:rsidRDefault="008C3FC9" w:rsidP="00BE0156">
            <w:pPr>
              <w:spacing w:line="240" w:lineRule="auto"/>
              <w:jc w:val="both"/>
              <w:rPr>
                <w:rFonts w:ascii="Times New Roman" w:hAnsi="Times New Roman" w:cs="Times New Roman"/>
              </w:rPr>
            </w:pPr>
            <w:r w:rsidRPr="00482FCC">
              <w:rPr>
                <w:rFonts w:ascii="Times New Roman" w:hAnsi="Times New Roman" w:cs="Times New Roman"/>
              </w:rPr>
              <w:t xml:space="preserve">0.000 </w:t>
            </w:r>
          </w:p>
        </w:tc>
      </w:tr>
      <w:tr w:rsidR="008C3FC9" w:rsidRPr="00482FCC" w14:paraId="2145FB5F" w14:textId="77777777" w:rsidTr="008C3FC9">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426F972" w14:textId="3C1F6B1F" w:rsidR="008C3FC9" w:rsidRPr="00482FCC" w:rsidRDefault="008C3FC9" w:rsidP="00BE0156">
            <w:pPr>
              <w:spacing w:line="240" w:lineRule="auto"/>
              <w:jc w:val="both"/>
              <w:rPr>
                <w:rFonts w:ascii="Times New Roman" w:hAnsi="Times New Roman" w:cs="Times New Roman"/>
                <w:b/>
                <w:bCs/>
              </w:rPr>
            </w:pPr>
            <w:r w:rsidRPr="00482FCC">
              <w:rPr>
                <w:rFonts w:ascii="Times New Roman" w:hAnsi="Times New Roman" w:cs="Times New Roman"/>
                <w:b/>
                <w:bCs/>
              </w:rPr>
              <w:t xml:space="preserve">Environmental </w:t>
            </w:r>
            <w:r w:rsidR="00A2188C" w:rsidRPr="00482FCC">
              <w:rPr>
                <w:rFonts w:ascii="Times New Roman" w:hAnsi="Times New Roman" w:cs="Times New Roman"/>
                <w:b/>
                <w:bCs/>
              </w:rPr>
              <w:t>L</w:t>
            </w:r>
            <w:r w:rsidRPr="00482FCC">
              <w:rPr>
                <w:rFonts w:ascii="Times New Roman" w:hAnsi="Times New Roman" w:cs="Times New Roman"/>
                <w:b/>
                <w:bCs/>
              </w:rPr>
              <w:t xml:space="preserve">abelling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63C641A" w14:textId="77777777" w:rsidR="008C3FC9" w:rsidRPr="00482FCC" w:rsidRDefault="008C3FC9" w:rsidP="00BE0156">
            <w:pPr>
              <w:spacing w:line="240" w:lineRule="auto"/>
              <w:jc w:val="both"/>
              <w:rPr>
                <w:rFonts w:ascii="Times New Roman" w:hAnsi="Times New Roman" w:cs="Times New Roman"/>
              </w:rPr>
            </w:pPr>
            <w:r w:rsidRPr="00482FCC">
              <w:rPr>
                <w:rFonts w:ascii="Times New Roman" w:hAnsi="Times New Roman" w:cs="Times New Roman"/>
              </w:rPr>
              <w:t xml:space="preserve">0.775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5D9238B" w14:textId="77777777" w:rsidR="008C3FC9" w:rsidRPr="00482FCC" w:rsidRDefault="008C3FC9" w:rsidP="00BE0156">
            <w:pPr>
              <w:spacing w:line="240" w:lineRule="auto"/>
              <w:jc w:val="both"/>
              <w:rPr>
                <w:rFonts w:ascii="Times New Roman" w:hAnsi="Times New Roman" w:cs="Times New Roman"/>
              </w:rPr>
            </w:pPr>
            <w:r w:rsidRPr="00482FCC">
              <w:rPr>
                <w:rFonts w:ascii="Times New Roman" w:hAnsi="Times New Roman" w:cs="Times New Roman"/>
              </w:rPr>
              <w:t xml:space="preserve">0.770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6356D20" w14:textId="77777777" w:rsidR="008C3FC9" w:rsidRPr="00482FCC" w:rsidRDefault="008C3FC9" w:rsidP="00BE0156">
            <w:pPr>
              <w:spacing w:line="240" w:lineRule="auto"/>
              <w:jc w:val="both"/>
              <w:rPr>
                <w:rFonts w:ascii="Times New Roman" w:hAnsi="Times New Roman" w:cs="Times New Roman"/>
              </w:rPr>
            </w:pPr>
            <w:r w:rsidRPr="00482FCC">
              <w:rPr>
                <w:rFonts w:ascii="Times New Roman" w:hAnsi="Times New Roman" w:cs="Times New Roman"/>
              </w:rPr>
              <w:t xml:space="preserve">0.035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AA85876" w14:textId="77777777" w:rsidR="008C3FC9" w:rsidRPr="00482FCC" w:rsidRDefault="008C3FC9" w:rsidP="00BE0156">
            <w:pPr>
              <w:spacing w:line="240" w:lineRule="auto"/>
              <w:jc w:val="both"/>
              <w:rPr>
                <w:rFonts w:ascii="Times New Roman" w:hAnsi="Times New Roman" w:cs="Times New Roman"/>
              </w:rPr>
            </w:pPr>
            <w:r w:rsidRPr="00482FCC">
              <w:rPr>
                <w:rFonts w:ascii="Times New Roman" w:hAnsi="Times New Roman" w:cs="Times New Roman"/>
              </w:rPr>
              <w:t xml:space="preserve">22.103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756A008" w14:textId="77777777" w:rsidR="008C3FC9" w:rsidRPr="00482FCC" w:rsidRDefault="008C3FC9" w:rsidP="00BE0156">
            <w:pPr>
              <w:spacing w:line="240" w:lineRule="auto"/>
              <w:jc w:val="both"/>
              <w:rPr>
                <w:rFonts w:ascii="Times New Roman" w:hAnsi="Times New Roman" w:cs="Times New Roman"/>
              </w:rPr>
            </w:pPr>
            <w:r w:rsidRPr="00482FCC">
              <w:rPr>
                <w:rFonts w:ascii="Times New Roman" w:hAnsi="Times New Roman" w:cs="Times New Roman"/>
              </w:rPr>
              <w:t xml:space="preserve">0.000 </w:t>
            </w:r>
          </w:p>
        </w:tc>
      </w:tr>
      <w:tr w:rsidR="008C3FC9" w:rsidRPr="00482FCC" w14:paraId="3817A22F" w14:textId="77777777" w:rsidTr="008C3FC9">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4C9224A" w14:textId="1322B388" w:rsidR="008C3FC9" w:rsidRPr="00482FCC" w:rsidRDefault="008C3FC9" w:rsidP="00BE0156">
            <w:pPr>
              <w:spacing w:line="240" w:lineRule="auto"/>
              <w:jc w:val="both"/>
              <w:rPr>
                <w:rFonts w:ascii="Times New Roman" w:hAnsi="Times New Roman" w:cs="Times New Roman"/>
                <w:b/>
                <w:bCs/>
              </w:rPr>
            </w:pPr>
            <w:r w:rsidRPr="00482FCC">
              <w:rPr>
                <w:rFonts w:ascii="Times New Roman" w:hAnsi="Times New Roman" w:cs="Times New Roman"/>
                <w:b/>
                <w:bCs/>
              </w:rPr>
              <w:t xml:space="preserve">Packaging </w:t>
            </w:r>
            <w:r w:rsidR="00503F9A" w:rsidRPr="00482FCC">
              <w:rPr>
                <w:rFonts w:ascii="Times New Roman" w:hAnsi="Times New Roman" w:cs="Times New Roman"/>
                <w:b/>
                <w:bCs/>
              </w:rPr>
              <w:t>R</w:t>
            </w:r>
            <w:r w:rsidRPr="00482FCC">
              <w:rPr>
                <w:rFonts w:ascii="Times New Roman" w:hAnsi="Times New Roman" w:cs="Times New Roman"/>
                <w:b/>
                <w:bCs/>
              </w:rPr>
              <w:t xml:space="preserve">eusability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3351BE5" w14:textId="77777777" w:rsidR="008C3FC9" w:rsidRPr="00482FCC" w:rsidRDefault="008C3FC9" w:rsidP="00BE0156">
            <w:pPr>
              <w:spacing w:line="240" w:lineRule="auto"/>
              <w:jc w:val="both"/>
              <w:rPr>
                <w:rFonts w:ascii="Times New Roman" w:hAnsi="Times New Roman" w:cs="Times New Roman"/>
              </w:rPr>
            </w:pPr>
            <w:r w:rsidRPr="00482FCC">
              <w:rPr>
                <w:rFonts w:ascii="Times New Roman" w:hAnsi="Times New Roman" w:cs="Times New Roman"/>
              </w:rPr>
              <w:t xml:space="preserve">0.763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77BDDB6" w14:textId="77777777" w:rsidR="008C3FC9" w:rsidRPr="00482FCC" w:rsidRDefault="008C3FC9" w:rsidP="00BE0156">
            <w:pPr>
              <w:spacing w:line="240" w:lineRule="auto"/>
              <w:jc w:val="both"/>
              <w:rPr>
                <w:rFonts w:ascii="Times New Roman" w:hAnsi="Times New Roman" w:cs="Times New Roman"/>
              </w:rPr>
            </w:pPr>
            <w:r w:rsidRPr="00482FCC">
              <w:rPr>
                <w:rFonts w:ascii="Times New Roman" w:hAnsi="Times New Roman" w:cs="Times New Roman"/>
              </w:rPr>
              <w:t xml:space="preserve">0.753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55F54777" w14:textId="77777777" w:rsidR="008C3FC9" w:rsidRPr="00482FCC" w:rsidRDefault="008C3FC9" w:rsidP="00BE0156">
            <w:pPr>
              <w:spacing w:line="240" w:lineRule="auto"/>
              <w:jc w:val="both"/>
              <w:rPr>
                <w:rFonts w:ascii="Times New Roman" w:hAnsi="Times New Roman" w:cs="Times New Roman"/>
              </w:rPr>
            </w:pPr>
            <w:r w:rsidRPr="00482FCC">
              <w:rPr>
                <w:rFonts w:ascii="Times New Roman" w:hAnsi="Times New Roman" w:cs="Times New Roman"/>
              </w:rPr>
              <w:t xml:space="preserve">0.046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DC3817D" w14:textId="77777777" w:rsidR="008C3FC9" w:rsidRPr="00482FCC" w:rsidRDefault="008C3FC9" w:rsidP="00BE0156">
            <w:pPr>
              <w:spacing w:line="240" w:lineRule="auto"/>
              <w:jc w:val="both"/>
              <w:rPr>
                <w:rFonts w:ascii="Times New Roman" w:hAnsi="Times New Roman" w:cs="Times New Roman"/>
              </w:rPr>
            </w:pPr>
            <w:r w:rsidRPr="00482FCC">
              <w:rPr>
                <w:rFonts w:ascii="Times New Roman" w:hAnsi="Times New Roman" w:cs="Times New Roman"/>
              </w:rPr>
              <w:t xml:space="preserve">16.417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104B6969" w14:textId="77777777" w:rsidR="008C3FC9" w:rsidRPr="00482FCC" w:rsidRDefault="008C3FC9" w:rsidP="00BE0156">
            <w:pPr>
              <w:spacing w:line="240" w:lineRule="auto"/>
              <w:jc w:val="both"/>
              <w:rPr>
                <w:rFonts w:ascii="Times New Roman" w:hAnsi="Times New Roman" w:cs="Times New Roman"/>
              </w:rPr>
            </w:pPr>
            <w:r w:rsidRPr="00482FCC">
              <w:rPr>
                <w:rFonts w:ascii="Times New Roman" w:hAnsi="Times New Roman" w:cs="Times New Roman"/>
              </w:rPr>
              <w:t xml:space="preserve">0.000 </w:t>
            </w:r>
          </w:p>
        </w:tc>
      </w:tr>
      <w:tr w:rsidR="008C3FC9" w:rsidRPr="00482FCC" w14:paraId="20936145" w14:textId="77777777" w:rsidTr="008C3FC9">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7DB5B206" w14:textId="6D8B9E7B" w:rsidR="008C3FC9" w:rsidRPr="00482FCC" w:rsidRDefault="008C3FC9" w:rsidP="00BE0156">
            <w:pPr>
              <w:spacing w:line="240" w:lineRule="auto"/>
              <w:jc w:val="both"/>
              <w:rPr>
                <w:rFonts w:ascii="Times New Roman" w:hAnsi="Times New Roman" w:cs="Times New Roman"/>
                <w:b/>
                <w:bCs/>
              </w:rPr>
            </w:pPr>
            <w:r w:rsidRPr="00482FCC">
              <w:rPr>
                <w:rFonts w:ascii="Times New Roman" w:hAnsi="Times New Roman" w:cs="Times New Roman"/>
                <w:b/>
                <w:bCs/>
              </w:rPr>
              <w:t xml:space="preserve">Product </w:t>
            </w:r>
            <w:r w:rsidR="00503F9A" w:rsidRPr="00482FCC">
              <w:rPr>
                <w:rFonts w:ascii="Times New Roman" w:hAnsi="Times New Roman" w:cs="Times New Roman"/>
                <w:b/>
                <w:bCs/>
              </w:rPr>
              <w:t>Safety</w:t>
            </w:r>
            <w:r w:rsidRPr="00482FCC">
              <w:rPr>
                <w:rFonts w:ascii="Times New Roman" w:hAnsi="Times New Roman" w:cs="Times New Roman"/>
                <w:b/>
                <w:bCs/>
              </w:rPr>
              <w:t xml:space="preserve">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E7B7EED" w14:textId="77777777" w:rsidR="008C3FC9" w:rsidRPr="00482FCC" w:rsidRDefault="008C3FC9" w:rsidP="00BE0156">
            <w:pPr>
              <w:spacing w:line="240" w:lineRule="auto"/>
              <w:jc w:val="both"/>
              <w:rPr>
                <w:rFonts w:ascii="Times New Roman" w:hAnsi="Times New Roman" w:cs="Times New Roman"/>
              </w:rPr>
            </w:pPr>
            <w:r w:rsidRPr="00482FCC">
              <w:rPr>
                <w:rFonts w:ascii="Times New Roman" w:hAnsi="Times New Roman" w:cs="Times New Roman"/>
              </w:rPr>
              <w:t xml:space="preserve">0.714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22C10F8F" w14:textId="77777777" w:rsidR="008C3FC9" w:rsidRPr="00482FCC" w:rsidRDefault="008C3FC9" w:rsidP="00BE0156">
            <w:pPr>
              <w:spacing w:line="240" w:lineRule="auto"/>
              <w:jc w:val="both"/>
              <w:rPr>
                <w:rFonts w:ascii="Times New Roman" w:hAnsi="Times New Roman" w:cs="Times New Roman"/>
              </w:rPr>
            </w:pPr>
            <w:r w:rsidRPr="00482FCC">
              <w:rPr>
                <w:rFonts w:ascii="Times New Roman" w:hAnsi="Times New Roman" w:cs="Times New Roman"/>
              </w:rPr>
              <w:t xml:space="preserve">0.707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637EA309" w14:textId="77777777" w:rsidR="008C3FC9" w:rsidRPr="00482FCC" w:rsidRDefault="008C3FC9" w:rsidP="00BE0156">
            <w:pPr>
              <w:spacing w:line="240" w:lineRule="auto"/>
              <w:jc w:val="both"/>
              <w:rPr>
                <w:rFonts w:ascii="Times New Roman" w:hAnsi="Times New Roman" w:cs="Times New Roman"/>
              </w:rPr>
            </w:pPr>
            <w:r w:rsidRPr="00482FCC">
              <w:rPr>
                <w:rFonts w:ascii="Times New Roman" w:hAnsi="Times New Roman" w:cs="Times New Roman"/>
              </w:rPr>
              <w:t xml:space="preserve">0.045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0C41720E" w14:textId="77777777" w:rsidR="008C3FC9" w:rsidRPr="00482FCC" w:rsidRDefault="008C3FC9" w:rsidP="00BE0156">
            <w:pPr>
              <w:spacing w:line="240" w:lineRule="auto"/>
              <w:jc w:val="both"/>
              <w:rPr>
                <w:rFonts w:ascii="Times New Roman" w:hAnsi="Times New Roman" w:cs="Times New Roman"/>
              </w:rPr>
            </w:pPr>
            <w:r w:rsidRPr="00482FCC">
              <w:rPr>
                <w:rFonts w:ascii="Times New Roman" w:hAnsi="Times New Roman" w:cs="Times New Roman"/>
              </w:rPr>
              <w:t xml:space="preserve">15.950 </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5C13823" w14:textId="77777777" w:rsidR="008C3FC9" w:rsidRPr="00482FCC" w:rsidRDefault="008C3FC9" w:rsidP="00BE0156">
            <w:pPr>
              <w:spacing w:line="240" w:lineRule="auto"/>
              <w:jc w:val="both"/>
              <w:rPr>
                <w:rFonts w:ascii="Times New Roman" w:hAnsi="Times New Roman" w:cs="Times New Roman"/>
              </w:rPr>
            </w:pPr>
            <w:r w:rsidRPr="00482FCC">
              <w:rPr>
                <w:rFonts w:ascii="Times New Roman" w:hAnsi="Times New Roman" w:cs="Times New Roman"/>
              </w:rPr>
              <w:t xml:space="preserve">0.000 </w:t>
            </w:r>
          </w:p>
        </w:tc>
      </w:tr>
    </w:tbl>
    <w:p w14:paraId="436DF7D6" w14:textId="77777777" w:rsidR="007A6B61" w:rsidRPr="00482FCC" w:rsidRDefault="007A6B61" w:rsidP="003661BB">
      <w:pPr>
        <w:spacing w:line="360" w:lineRule="auto"/>
        <w:jc w:val="both"/>
        <w:rPr>
          <w:rFonts w:ascii="Times New Roman" w:hAnsi="Times New Roman" w:cs="Times New Roman"/>
        </w:rPr>
      </w:pPr>
      <w:r w:rsidRPr="00482FCC">
        <w:rPr>
          <w:rFonts w:ascii="Times New Roman" w:hAnsi="Times New Roman" w:cs="Times New Roman"/>
          <w:b/>
          <w:bCs/>
        </w:rPr>
        <w:t>Source:</w:t>
      </w:r>
      <w:r w:rsidRPr="00482FCC">
        <w:rPr>
          <w:rFonts w:ascii="Times New Roman" w:hAnsi="Times New Roman" w:cs="Times New Roman"/>
        </w:rPr>
        <w:t xml:space="preserve"> Smart Pls 4 Output (2025).</w:t>
      </w:r>
    </w:p>
    <w:p w14:paraId="3857E5B9" w14:textId="130AD57B" w:rsidR="008C3FC9" w:rsidRPr="00482FCC" w:rsidRDefault="009B054C" w:rsidP="003661BB">
      <w:pPr>
        <w:spacing w:line="360" w:lineRule="auto"/>
        <w:jc w:val="both"/>
        <w:rPr>
          <w:rFonts w:ascii="Times New Roman" w:hAnsi="Times New Roman" w:cs="Times New Roman"/>
        </w:rPr>
      </w:pPr>
      <w:r w:rsidRPr="00482FCC">
        <w:rPr>
          <w:rFonts w:ascii="Times New Roman" w:hAnsi="Times New Roman" w:cs="Times New Roman"/>
        </w:rPr>
        <w:t>All constructs demonstrate acceptable composite reliability, with values exceeding the 0.70 threshold, confirming that they are measured consistently and reliably.</w:t>
      </w:r>
    </w:p>
    <w:p w14:paraId="371C6F49" w14:textId="77777777" w:rsidR="00935C87" w:rsidRPr="00482FCC" w:rsidRDefault="00935C87" w:rsidP="003661BB">
      <w:pPr>
        <w:spacing w:line="360" w:lineRule="auto"/>
        <w:jc w:val="both"/>
        <w:rPr>
          <w:rFonts w:ascii="Times New Roman" w:hAnsi="Times New Roman" w:cs="Times New Roman"/>
        </w:rPr>
      </w:pPr>
    </w:p>
    <w:p w14:paraId="3A5AF086" w14:textId="77777777" w:rsidR="008F6CA1" w:rsidRPr="00482FCC" w:rsidRDefault="008F6CA1" w:rsidP="003661BB">
      <w:pPr>
        <w:spacing w:line="360" w:lineRule="auto"/>
        <w:jc w:val="both"/>
        <w:rPr>
          <w:rFonts w:ascii="Times New Roman" w:hAnsi="Times New Roman" w:cs="Times New Roman"/>
          <w:b/>
          <w:bCs/>
        </w:rPr>
      </w:pPr>
      <w:r w:rsidRPr="00482FCC">
        <w:rPr>
          <w:rFonts w:ascii="Times New Roman" w:hAnsi="Times New Roman" w:cs="Times New Roman"/>
          <w:b/>
          <w:bCs/>
        </w:rPr>
        <w:t>Discussion of Findings</w:t>
      </w:r>
    </w:p>
    <w:p w14:paraId="23E2AAA3" w14:textId="0DD98F6B" w:rsidR="00286730" w:rsidRPr="00482FCC" w:rsidRDefault="003A1717" w:rsidP="003661BB">
      <w:pPr>
        <w:spacing w:line="360" w:lineRule="auto"/>
        <w:jc w:val="both"/>
        <w:rPr>
          <w:rFonts w:ascii="Times New Roman" w:hAnsi="Times New Roman" w:cs="Times New Roman"/>
        </w:rPr>
      </w:pPr>
      <w:r w:rsidRPr="00482FCC">
        <w:rPr>
          <w:rFonts w:ascii="Times New Roman" w:hAnsi="Times New Roman" w:cs="Times New Roman"/>
        </w:rPr>
        <w:t xml:space="preserve">The study analysed environmental labelling, packaging reusability, and product safety to identify the elements that promote consumers' willingness to pay a premium in Kwara State, Nigeria. The researchers expected that environmental labels and packaging reusability would significantly influence customers' readiness to pay more for green alternatives. However, neither environmental labelling nor packaging reusability significantly motivated customers to pay extra for green packaging, as their p-values exceeded 0.05. A statistically insignificant negative impact related to packaging reusability was observed, while environmental labelling showed a lasting impact that did not achieve statistical significance. Nonetheless, survey data indicate that Nigerians are unlikely to pay more for green packaging unless customer receptivity is limited to reusable materials and environmentally labelled products.  To the extent that consumers are willing to spend, Agatha (2024) reports that their determination to do so affects the sales performance of green-packaged goods.  According to Agatha’s research, enhancing the public's receptiveness to environmentally friendly packaging relies on innovative marketing strategies that combine detailed information with tailored pricing.  Consumer demographics and market variables in Nigeria focus more on brand awareness and </w:t>
      </w:r>
      <w:r w:rsidRPr="00482FCC">
        <w:rPr>
          <w:rFonts w:ascii="Times New Roman" w:hAnsi="Times New Roman" w:cs="Times New Roman"/>
        </w:rPr>
        <w:lastRenderedPageBreak/>
        <w:t>recognition rather than package labelling and product recyclability, accounting for differences in research findings.</w:t>
      </w:r>
    </w:p>
    <w:p w14:paraId="6A0D6905" w14:textId="71246D49" w:rsidR="00286730" w:rsidRPr="00482FCC" w:rsidRDefault="00D37715" w:rsidP="003661BB">
      <w:pPr>
        <w:spacing w:line="360" w:lineRule="auto"/>
        <w:jc w:val="both"/>
        <w:rPr>
          <w:rFonts w:ascii="Times New Roman" w:hAnsi="Times New Roman" w:cs="Times New Roman"/>
        </w:rPr>
      </w:pPr>
      <w:r w:rsidRPr="00482FCC">
        <w:rPr>
          <w:rFonts w:ascii="Times New Roman" w:hAnsi="Times New Roman" w:cs="Times New Roman"/>
        </w:rPr>
        <w:t xml:space="preserve"> Evidence shows that product safety significantly contributed to customer acceptance of green packaging, as indicated by a high T-statistic and a p-value of 0.000. In institutions that value environmental products, safety typically influences such purchases. In Philip’s 2024 survey, product quality and health are top priorities for Nigerian consumers when buying eco-friendly products. The survey indicates that product safety remains the primary driver for consumers in Kwara State, as they appreciate the increased safety and health benefits derived from green packaging solutions. </w:t>
      </w:r>
    </w:p>
    <w:p w14:paraId="31910A56" w14:textId="24F7DBEA" w:rsidR="00286730" w:rsidRPr="00482FCC" w:rsidRDefault="00D37715" w:rsidP="003661BB">
      <w:pPr>
        <w:spacing w:line="360" w:lineRule="auto"/>
        <w:jc w:val="both"/>
        <w:rPr>
          <w:rFonts w:ascii="Times New Roman" w:hAnsi="Times New Roman" w:cs="Times New Roman"/>
        </w:rPr>
      </w:pPr>
      <w:r w:rsidRPr="00482FCC">
        <w:rPr>
          <w:rFonts w:ascii="Times New Roman" w:hAnsi="Times New Roman" w:cs="Times New Roman"/>
        </w:rPr>
        <w:t>The model accounts for 99% of the variance in a consumer's willingness to pay, indicating a very successful outcome (R² = 0.990). From these results, environmental labelling, packaging reusability, and product safety emerge as significant drivers of consumer behaviour. However, since environmental labelling and packaging reusability contributed minimally, their effectiveness as predictors in the Nigerian context is questioned. The findings of this study broadly align with previous research, yet stark differences exist. For instance, Mahmoud et al. (2022) indicated that environmental awareness significantly influences consumers’ purchase behaviour, whereas the impact of green packaging has not been statistically significant. Additionally, Tanzares et al. (2024) highlighted that consumer behaviour and willingness to pay are crucial for examining sustainable packaging, but awareness about nature proved insignificant. This suggests that consumer interest in paying for green packaging is not solely influenced by environmental cues like labelling or reusability. Although Suphaskuldamrong et al. (2021) reported that consumer risk perceptions are fundamental to purchasing organic products, this study reveals that in Nigeria, consumers prioritise health and safety over environmental risks, underscoring product safety as a major concern.</w:t>
      </w:r>
    </w:p>
    <w:p w14:paraId="3C606857" w14:textId="77777777" w:rsidR="008F6CA1" w:rsidRPr="00482FCC" w:rsidRDefault="008F6CA1" w:rsidP="003661BB">
      <w:pPr>
        <w:spacing w:line="360" w:lineRule="auto"/>
        <w:jc w:val="both"/>
        <w:rPr>
          <w:rFonts w:ascii="Times New Roman" w:hAnsi="Times New Roman" w:cs="Times New Roman"/>
          <w:b/>
          <w:bCs/>
        </w:rPr>
      </w:pPr>
      <w:r w:rsidRPr="00482FCC">
        <w:rPr>
          <w:rFonts w:ascii="Times New Roman" w:hAnsi="Times New Roman" w:cs="Times New Roman"/>
          <w:b/>
          <w:bCs/>
        </w:rPr>
        <w:t>Implications for Marketing and Policy</w:t>
      </w:r>
    </w:p>
    <w:p w14:paraId="21A910B0" w14:textId="42ED45DA" w:rsidR="005613C2" w:rsidRPr="00482FCC" w:rsidRDefault="008A6AEF" w:rsidP="003661BB">
      <w:pPr>
        <w:spacing w:line="360" w:lineRule="auto"/>
        <w:jc w:val="both"/>
        <w:rPr>
          <w:rFonts w:ascii="Times New Roman" w:hAnsi="Times New Roman" w:cs="Times New Roman"/>
        </w:rPr>
      </w:pPr>
      <w:r w:rsidRPr="00482FCC">
        <w:rPr>
          <w:rFonts w:ascii="Times New Roman" w:hAnsi="Times New Roman" w:cs="Times New Roman"/>
        </w:rPr>
        <w:t>The research findings can provide insightful information for guiding both business practices and policy orientations. A major tactic for businesses is to focus on product safety in green packaging campaigns because it is the primary factor in boosting consumer spending. Marketing efforts could be enhanced by emphasising the health and safety benefits of green products rather than concentrating on environmental labels or the recyclability of the packaging, which has had minimal influence on consumer purchasing behaviours.</w:t>
      </w:r>
    </w:p>
    <w:p w14:paraId="02DA7915" w14:textId="19E1ED79" w:rsidR="005613C2" w:rsidRPr="00482FCC" w:rsidRDefault="008A6AEF" w:rsidP="003661BB">
      <w:pPr>
        <w:spacing w:line="360" w:lineRule="auto"/>
        <w:jc w:val="both"/>
        <w:rPr>
          <w:rFonts w:ascii="Times New Roman" w:hAnsi="Times New Roman" w:cs="Times New Roman"/>
        </w:rPr>
      </w:pPr>
      <w:r w:rsidRPr="00482FCC">
        <w:rPr>
          <w:rFonts w:ascii="Times New Roman" w:hAnsi="Times New Roman" w:cs="Times New Roman"/>
        </w:rPr>
        <w:lastRenderedPageBreak/>
        <w:t>The study recommends that policymakers direct public awareness efforts to emphasise the health and safety aspects of sustainable packaging and products. Government programmes to encourage green packaging could be beneficial by rewarding businesses that enhance their product safety standards alongside sustainable features.</w:t>
      </w:r>
    </w:p>
    <w:p w14:paraId="674C601C" w14:textId="783776EE" w:rsidR="008F6CA1" w:rsidRPr="00482FCC" w:rsidRDefault="008F6CA1" w:rsidP="003661BB">
      <w:pPr>
        <w:spacing w:line="360" w:lineRule="auto"/>
        <w:jc w:val="both"/>
        <w:rPr>
          <w:rFonts w:ascii="Times New Roman" w:hAnsi="Times New Roman" w:cs="Times New Roman"/>
          <w:b/>
          <w:bCs/>
        </w:rPr>
      </w:pPr>
      <w:r w:rsidRPr="00482FCC">
        <w:rPr>
          <w:rFonts w:ascii="Times New Roman" w:hAnsi="Times New Roman" w:cs="Times New Roman"/>
          <w:b/>
          <w:bCs/>
        </w:rPr>
        <w:t>Implications for Theoretical Findings</w:t>
      </w:r>
    </w:p>
    <w:p w14:paraId="2AA6B6A9" w14:textId="193A786F" w:rsidR="008B4F76" w:rsidRPr="00482FCC" w:rsidRDefault="008A6AEF" w:rsidP="003661BB">
      <w:pPr>
        <w:spacing w:line="360" w:lineRule="auto"/>
        <w:jc w:val="both"/>
        <w:rPr>
          <w:rFonts w:ascii="Times New Roman" w:hAnsi="Times New Roman" w:cs="Times New Roman"/>
        </w:rPr>
      </w:pPr>
      <w:r w:rsidRPr="00482FCC">
        <w:rPr>
          <w:rFonts w:ascii="Times New Roman" w:hAnsi="Times New Roman" w:cs="Times New Roman"/>
        </w:rPr>
        <w:t>This study significantly contributes to the Theory of Planned Behaviour (TPB) by explaining how environmental and individual product attributes influence consumers’ tendency to buy Coca-Cola with green packaging. This theory posits that behavioural decisions are driven by attitudes, beliefs, expectations from others, and self-belief in the ability to perform the behaviour. According to the study, attitudes</w:t>
      </w:r>
      <w:r w:rsidR="003442DC" w:rsidRPr="00482FCC">
        <w:rPr>
          <w:rFonts w:ascii="Times New Roman" w:hAnsi="Times New Roman" w:cs="Times New Roman"/>
        </w:rPr>
        <w:t xml:space="preserve">, including the consumer’s concern for the product's safety, </w:t>
      </w:r>
      <w:r w:rsidRPr="00482FCC">
        <w:rPr>
          <w:rFonts w:ascii="Times New Roman" w:hAnsi="Times New Roman" w:cs="Times New Roman"/>
        </w:rPr>
        <w:t>had the greatest influence, indicating that safety is a primary motivation for selecting environmentally friendly packaging. The finding that environmental labelling and packaging reusability were not strong predictors suggests the subtle roles consumers play in understanding green attributes within the framework of the TPB model.</w:t>
      </w:r>
    </w:p>
    <w:p w14:paraId="6C6516BA" w14:textId="4ED712F2" w:rsidR="008F6CA1" w:rsidRPr="00482FCC" w:rsidRDefault="00274416" w:rsidP="003661BB">
      <w:pPr>
        <w:spacing w:line="360" w:lineRule="auto"/>
        <w:jc w:val="both"/>
        <w:rPr>
          <w:rFonts w:ascii="Times New Roman" w:hAnsi="Times New Roman" w:cs="Times New Roman"/>
        </w:rPr>
      </w:pPr>
      <w:r w:rsidRPr="00482FCC">
        <w:rPr>
          <w:rFonts w:ascii="Times New Roman" w:hAnsi="Times New Roman" w:cs="Times New Roman"/>
        </w:rPr>
        <w:t xml:space="preserve">While subjective norms and perceived behavioural control were not precisely measured in the research, their significance </w:t>
      </w:r>
      <w:r w:rsidR="003442DC" w:rsidRPr="00482FCC">
        <w:rPr>
          <w:rFonts w:ascii="Times New Roman" w:hAnsi="Times New Roman" w:cs="Times New Roman"/>
        </w:rPr>
        <w:t>emerged</w:t>
      </w:r>
      <w:r w:rsidRPr="00482FCC">
        <w:rPr>
          <w:rFonts w:ascii="Times New Roman" w:hAnsi="Times New Roman" w:cs="Times New Roman"/>
        </w:rPr>
        <w:t xml:space="preserve"> from the results. Stimulation by social pressures and increased environmental consciousness may subtly influence consumer behaviour, suggesting other avenues for enquiry. The weak link between repurposing packaging and the willingness to pay a higher price indicates possible barriers for consumers, such as difficulties in accessing recycling centres and uncertainty about the ease of reuse. These findings extend the Theory of Planned Behaviour (TPB) by demonstrating that product and environmental factors are important for analysing consumer behaviour. In </w:t>
      </w:r>
      <w:r w:rsidR="003442DC" w:rsidRPr="00482FCC">
        <w:rPr>
          <w:rFonts w:ascii="Times New Roman" w:hAnsi="Times New Roman" w:cs="Times New Roman"/>
        </w:rPr>
        <w:t>practice</w:t>
      </w:r>
      <w:r w:rsidRPr="00482FCC">
        <w:rPr>
          <w:rFonts w:ascii="Times New Roman" w:hAnsi="Times New Roman" w:cs="Times New Roman"/>
        </w:rPr>
        <w:t>, firms can utilise these findings to develop campaigns that emphasise safety attributes and address some of the challenges facing green options, thereby advancing green marketing and promoting the adoption of eco-friendly products by consumers.</w:t>
      </w:r>
    </w:p>
    <w:p w14:paraId="6EE17640" w14:textId="77777777" w:rsidR="008F6CA1" w:rsidRPr="00482FCC" w:rsidRDefault="008F6CA1" w:rsidP="003661BB">
      <w:pPr>
        <w:spacing w:line="360" w:lineRule="auto"/>
        <w:jc w:val="both"/>
        <w:rPr>
          <w:rFonts w:ascii="Times New Roman" w:hAnsi="Times New Roman" w:cs="Times New Roman"/>
          <w:b/>
          <w:bCs/>
        </w:rPr>
      </w:pPr>
      <w:r w:rsidRPr="00482FCC">
        <w:rPr>
          <w:rFonts w:ascii="Times New Roman" w:hAnsi="Times New Roman" w:cs="Times New Roman"/>
          <w:b/>
          <w:bCs/>
        </w:rPr>
        <w:t>Conclusion</w:t>
      </w:r>
    </w:p>
    <w:p w14:paraId="55A40981" w14:textId="3883C076" w:rsidR="008B4F76" w:rsidRPr="00482FCC" w:rsidRDefault="003442DC" w:rsidP="003661BB">
      <w:pPr>
        <w:spacing w:line="360" w:lineRule="auto"/>
        <w:jc w:val="both"/>
        <w:rPr>
          <w:rFonts w:ascii="Times New Roman" w:hAnsi="Times New Roman" w:cs="Times New Roman"/>
        </w:rPr>
      </w:pPr>
      <w:r w:rsidRPr="00482FCC">
        <w:rPr>
          <w:rFonts w:ascii="Times New Roman" w:hAnsi="Times New Roman" w:cs="Times New Roman"/>
        </w:rPr>
        <w:t xml:space="preserve">For this investigation, an analysis was conducted on residents of Kwara State in Nigeria to determine their preference for paying extra for Coca-Cola in green packaging, while also examining the effects of labelling practises, packaging recycling practises, and product safety. It was found that consumer willingness to pay more is largely influenced by concerns regarding product safety. The results further indicate that the impact of environmental labelling and packaging reusability is limited when considering willingness to pay. The model for this </w:t>
      </w:r>
      <w:r w:rsidRPr="00482FCC">
        <w:rPr>
          <w:rFonts w:ascii="Times New Roman" w:hAnsi="Times New Roman" w:cs="Times New Roman"/>
        </w:rPr>
        <w:lastRenderedPageBreak/>
        <w:t>investigation accurately reflected consumer willingness to pay, which accounted for 99% of the information associated with product safety. Product safety also emerged as a significant factor affecting consumer behaviour; however, the absence of aspects such as convenience, availability of recycling resources, and government support for environmental policies was identified as a gap for further research.</w:t>
      </w:r>
    </w:p>
    <w:p w14:paraId="47E985B4" w14:textId="04A68159" w:rsidR="008B4F76" w:rsidRPr="00482FCC" w:rsidRDefault="003442DC" w:rsidP="003661BB">
      <w:pPr>
        <w:spacing w:line="360" w:lineRule="auto"/>
        <w:jc w:val="both"/>
        <w:rPr>
          <w:rFonts w:ascii="Times New Roman" w:hAnsi="Times New Roman" w:cs="Times New Roman"/>
        </w:rPr>
      </w:pPr>
      <w:r w:rsidRPr="00482FCC">
        <w:rPr>
          <w:rFonts w:ascii="Times New Roman" w:hAnsi="Times New Roman" w:cs="Times New Roman"/>
        </w:rPr>
        <w:t>The results enhance TPB use by illustrating the significant influence of an individual’s safety attitudes and belief in the ability to reuse packaging on purchasing behaviour. This research provides valuable information for companies and government agencies aiming to promote sustainable consumption practices in Nigeria and similar countries.</w:t>
      </w:r>
    </w:p>
    <w:p w14:paraId="6FF2DF79" w14:textId="4C788DEC" w:rsidR="008F6CA1" w:rsidRPr="00482FCC" w:rsidRDefault="008F6CA1" w:rsidP="003661BB">
      <w:pPr>
        <w:spacing w:line="360" w:lineRule="auto"/>
        <w:jc w:val="both"/>
        <w:rPr>
          <w:rFonts w:ascii="Times New Roman" w:hAnsi="Times New Roman" w:cs="Times New Roman"/>
          <w:b/>
          <w:bCs/>
        </w:rPr>
      </w:pPr>
      <w:r w:rsidRPr="00482FCC">
        <w:rPr>
          <w:rFonts w:ascii="Times New Roman" w:hAnsi="Times New Roman" w:cs="Times New Roman"/>
          <w:b/>
          <w:bCs/>
        </w:rPr>
        <w:t>Recommendations</w:t>
      </w:r>
    </w:p>
    <w:p w14:paraId="27BF6427" w14:textId="4B037093" w:rsidR="00284547" w:rsidRPr="00482FCC" w:rsidRDefault="008A2D85" w:rsidP="003661BB">
      <w:pPr>
        <w:spacing w:line="360" w:lineRule="auto"/>
        <w:jc w:val="both"/>
        <w:rPr>
          <w:rFonts w:ascii="Times New Roman" w:hAnsi="Times New Roman" w:cs="Times New Roman"/>
        </w:rPr>
      </w:pPr>
      <w:r w:rsidRPr="00482FCC">
        <w:rPr>
          <w:rFonts w:ascii="Times New Roman" w:hAnsi="Times New Roman" w:cs="Times New Roman"/>
        </w:rPr>
        <w:t>Considering the results of our investigation, we recommend the following:</w:t>
      </w:r>
    </w:p>
    <w:p w14:paraId="235A303D" w14:textId="1012BD55" w:rsidR="005E3399" w:rsidRPr="00482FCC" w:rsidRDefault="008A2D85" w:rsidP="003661BB">
      <w:pPr>
        <w:pStyle w:val="ListParagraph"/>
        <w:numPr>
          <w:ilvl w:val="0"/>
          <w:numId w:val="24"/>
        </w:numPr>
        <w:spacing w:line="360" w:lineRule="auto"/>
        <w:jc w:val="both"/>
        <w:rPr>
          <w:rFonts w:ascii="Times New Roman" w:hAnsi="Times New Roman" w:cs="Times New Roman"/>
        </w:rPr>
      </w:pPr>
      <w:r w:rsidRPr="00482FCC">
        <w:rPr>
          <w:rFonts w:ascii="Times New Roman" w:hAnsi="Times New Roman" w:cs="Times New Roman"/>
        </w:rPr>
        <w:t xml:space="preserve">Brands should build their campaigns around the safe features of eco-friendly packaging. Since safety </w:t>
      </w:r>
      <w:r w:rsidR="003442DC" w:rsidRPr="00482FCC">
        <w:rPr>
          <w:rFonts w:ascii="Times New Roman" w:hAnsi="Times New Roman" w:cs="Times New Roman"/>
        </w:rPr>
        <w:t>strongly correlates</w:t>
      </w:r>
      <w:r w:rsidRPr="00482FCC">
        <w:rPr>
          <w:rFonts w:ascii="Times New Roman" w:hAnsi="Times New Roman" w:cs="Times New Roman"/>
        </w:rPr>
        <w:t xml:space="preserve"> with consumer willingness to pay, brands are motivated to showcase safety standards alongside eco-packaging. </w:t>
      </w:r>
    </w:p>
    <w:p w14:paraId="54C8E7C4" w14:textId="46A6CBA4" w:rsidR="005E3399" w:rsidRPr="00482FCC" w:rsidRDefault="008A2D85" w:rsidP="003661BB">
      <w:pPr>
        <w:pStyle w:val="ListParagraph"/>
        <w:numPr>
          <w:ilvl w:val="0"/>
          <w:numId w:val="24"/>
        </w:numPr>
        <w:spacing w:line="360" w:lineRule="auto"/>
        <w:jc w:val="both"/>
        <w:rPr>
          <w:rFonts w:ascii="Times New Roman" w:hAnsi="Times New Roman" w:cs="Times New Roman"/>
        </w:rPr>
      </w:pPr>
      <w:r w:rsidRPr="00482FCC">
        <w:rPr>
          <w:rFonts w:ascii="Times New Roman" w:hAnsi="Times New Roman" w:cs="Times New Roman"/>
        </w:rPr>
        <w:t>Apparently, consumers’ general interest in a product was not significantly affected when packaging was made reusable. To encourage greater adoption of reusable packaging, firms should develop easy-to-use return mechanisms and incentives for sustainable recycling behaviours.</w:t>
      </w:r>
    </w:p>
    <w:p w14:paraId="23A578C2" w14:textId="48E811E8" w:rsidR="00284547" w:rsidRPr="00482FCC" w:rsidRDefault="008C47CF" w:rsidP="003661BB">
      <w:pPr>
        <w:pStyle w:val="ListParagraph"/>
        <w:numPr>
          <w:ilvl w:val="0"/>
          <w:numId w:val="24"/>
        </w:numPr>
        <w:spacing w:line="360" w:lineRule="auto"/>
        <w:jc w:val="both"/>
        <w:rPr>
          <w:rFonts w:ascii="Times New Roman" w:hAnsi="Times New Roman" w:cs="Times New Roman"/>
        </w:rPr>
      </w:pPr>
      <w:r w:rsidRPr="00482FCC">
        <w:rPr>
          <w:rFonts w:ascii="Times New Roman" w:hAnsi="Times New Roman" w:cs="Times New Roman"/>
        </w:rPr>
        <w:t>Although environmental labelling did not demonstrate a substantial direct effect in our study, it remains a powerful tool for guiding consumers’ choices. Brands must enhance their environmental labels, making them more prominent and understandable, to address environmentally conscious</w:t>
      </w:r>
      <w:r w:rsidR="008A2D85" w:rsidRPr="00482FCC">
        <w:rPr>
          <w:rFonts w:ascii="Times New Roman" w:hAnsi="Times New Roman" w:cs="Times New Roman"/>
        </w:rPr>
        <w:t xml:space="preserve"> customers and provide clear guidelines.</w:t>
      </w:r>
    </w:p>
    <w:p w14:paraId="7582F119" w14:textId="12D5803E" w:rsidR="00677A58" w:rsidRPr="00482FCC" w:rsidRDefault="00677A58" w:rsidP="003661BB">
      <w:pPr>
        <w:spacing w:line="360" w:lineRule="auto"/>
        <w:jc w:val="both"/>
        <w:rPr>
          <w:rFonts w:ascii="Times New Roman" w:hAnsi="Times New Roman" w:cs="Times New Roman"/>
          <w:b/>
          <w:bCs/>
        </w:rPr>
      </w:pPr>
      <w:r w:rsidRPr="00482FCC">
        <w:rPr>
          <w:rFonts w:ascii="Times New Roman" w:hAnsi="Times New Roman" w:cs="Times New Roman"/>
          <w:b/>
          <w:bCs/>
        </w:rPr>
        <w:t>Limitations and Suggestions for Further Studies</w:t>
      </w:r>
    </w:p>
    <w:p w14:paraId="4B37919B" w14:textId="5B099D91" w:rsidR="007B328D" w:rsidRPr="00482FCC" w:rsidRDefault="00535B44" w:rsidP="003661BB">
      <w:pPr>
        <w:spacing w:line="360" w:lineRule="auto"/>
        <w:jc w:val="both"/>
        <w:rPr>
          <w:rFonts w:ascii="Times New Roman" w:hAnsi="Times New Roman" w:cs="Times New Roman"/>
        </w:rPr>
      </w:pPr>
      <w:r w:rsidRPr="00482FCC">
        <w:rPr>
          <w:rFonts w:ascii="Times New Roman" w:hAnsi="Times New Roman" w:cs="Times New Roman"/>
        </w:rPr>
        <w:t xml:space="preserve">Despite its contributions, it is important to note the limitations present in this research. The study’s geographic constraint reduces its broader applicability due to cultural, economic, and environmental differences in other regions, thereby limiting its relevance to Kwara State, Nigeria. Second, only three major factors- environmental labelling, packaging reusability, and product safety- were analysed. In contrast, significant aspects such as environmental awareness, personal values, and socio-economic standing were not considered. Third, although the statistical sampling was appropriate, there may have been some overrepresentation and </w:t>
      </w:r>
      <w:r w:rsidRPr="00482FCC">
        <w:rPr>
          <w:rFonts w:ascii="Times New Roman" w:hAnsi="Times New Roman" w:cs="Times New Roman"/>
        </w:rPr>
        <w:lastRenderedPageBreak/>
        <w:t>underrepresentation of specific subgroups in the sample. Since the data collection is cross-sectional, any causal conclusions are impossible, providing only a brief snapshot of consumer behaviour at one point.</w:t>
      </w:r>
    </w:p>
    <w:p w14:paraId="4B7F4D5D" w14:textId="72C1084D" w:rsidR="007B328D" w:rsidRPr="00482FCC" w:rsidRDefault="009A7063" w:rsidP="003661BB">
      <w:pPr>
        <w:spacing w:line="360" w:lineRule="auto"/>
        <w:jc w:val="both"/>
        <w:rPr>
          <w:rFonts w:ascii="Times New Roman" w:hAnsi="Times New Roman" w:cs="Times New Roman"/>
        </w:rPr>
      </w:pPr>
      <w:r w:rsidRPr="00482FCC">
        <w:rPr>
          <w:rFonts w:ascii="Times New Roman" w:hAnsi="Times New Roman" w:cs="Times New Roman"/>
        </w:rPr>
        <w:t>Further research should enhance geospatial capacity by broadening focus across multiple countries or regions to address these inadequacies and facilitate comparisons of consumer preferences for eco-friendly packaging in different cultures. Identifying parameters such as eco-consciousness, environmental literacy, and lifestyle values could add depth and breadth to the behavioural model. For track changes in consumer attitudes, longitudinal studies are recommended, and experiments may examine the practical effects of environmental labels and packaging formats on actual consumers. Subjective norms, media exposure, and policy actions collectively define social norms and may serve for fruitful topics for future studies. Finally, integrating principles of behavioural economics may help illuminate the cognitive biases and mental shortcuts consumers use when making purchasing decisions related to sustainability.</w:t>
      </w:r>
    </w:p>
    <w:p w14:paraId="0CEDF743" w14:textId="77777777" w:rsidR="00A44A08" w:rsidRPr="00482FCC" w:rsidRDefault="00A44A08" w:rsidP="003661BB">
      <w:pPr>
        <w:spacing w:line="360" w:lineRule="auto"/>
        <w:jc w:val="both"/>
        <w:rPr>
          <w:rFonts w:ascii="Times New Roman" w:hAnsi="Times New Roman" w:cs="Times New Roman"/>
        </w:rPr>
      </w:pPr>
    </w:p>
    <w:p w14:paraId="578B278A" w14:textId="150A6988" w:rsidR="008D37F7" w:rsidRPr="00482FCC" w:rsidRDefault="008D37F7" w:rsidP="003661BB">
      <w:pPr>
        <w:spacing w:line="360" w:lineRule="auto"/>
        <w:jc w:val="both"/>
        <w:rPr>
          <w:rFonts w:ascii="Times New Roman" w:hAnsi="Times New Roman" w:cs="Times New Roman"/>
          <w:b/>
          <w:bCs/>
        </w:rPr>
      </w:pPr>
      <w:r w:rsidRPr="00482FCC">
        <w:rPr>
          <w:rFonts w:ascii="Times New Roman" w:hAnsi="Times New Roman" w:cs="Times New Roman"/>
          <w:b/>
          <w:bCs/>
        </w:rPr>
        <w:t>Reference</w:t>
      </w:r>
    </w:p>
    <w:p w14:paraId="6680A370" w14:textId="01767272"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Agatha, V. (2024). Consumer </w:t>
      </w:r>
      <w:r w:rsidR="00083B81" w:rsidRPr="00482FCC">
        <w:rPr>
          <w:rFonts w:ascii="Times New Roman" w:hAnsi="Times New Roman" w:cs="Times New Roman"/>
        </w:rPr>
        <w:t>willingness to pay a premium green packaging</w:t>
      </w:r>
      <w:r w:rsidRPr="00482FCC">
        <w:rPr>
          <w:rFonts w:ascii="Times New Roman" w:hAnsi="Times New Roman" w:cs="Times New Roman"/>
        </w:rPr>
        <w:t xml:space="preserve">. </w:t>
      </w:r>
      <w:r w:rsidRPr="00482FCC">
        <w:rPr>
          <w:rFonts w:ascii="Times New Roman" w:hAnsi="Times New Roman" w:cs="Times New Roman"/>
          <w:i/>
          <w:iCs/>
        </w:rPr>
        <w:t xml:space="preserve">Global Scientific </w:t>
      </w:r>
      <w:r w:rsidR="006E49F5" w:rsidRPr="00482FCC">
        <w:rPr>
          <w:rFonts w:ascii="Times New Roman" w:hAnsi="Times New Roman" w:cs="Times New Roman"/>
          <w:i/>
          <w:iCs/>
        </w:rPr>
        <w:tab/>
      </w:r>
      <w:r w:rsidRPr="00482FCC">
        <w:rPr>
          <w:rFonts w:ascii="Times New Roman" w:hAnsi="Times New Roman" w:cs="Times New Roman"/>
          <w:i/>
          <w:iCs/>
        </w:rPr>
        <w:t>Journal</w:t>
      </w:r>
      <w:r w:rsidRPr="00482FCC">
        <w:rPr>
          <w:rFonts w:ascii="Times New Roman" w:hAnsi="Times New Roman" w:cs="Times New Roman"/>
        </w:rPr>
        <w:t xml:space="preserve">, </w:t>
      </w:r>
      <w:r w:rsidRPr="00482FCC">
        <w:rPr>
          <w:rFonts w:ascii="Times New Roman" w:hAnsi="Times New Roman" w:cs="Times New Roman"/>
          <w:i/>
          <w:iCs/>
        </w:rPr>
        <w:t>12</w:t>
      </w:r>
      <w:r w:rsidRPr="00482FCC">
        <w:rPr>
          <w:rFonts w:ascii="Times New Roman" w:hAnsi="Times New Roman" w:cs="Times New Roman"/>
        </w:rPr>
        <w:t>(12), 942</w:t>
      </w:r>
      <w:r w:rsidR="00083B81" w:rsidRPr="00482FCC">
        <w:rPr>
          <w:rFonts w:ascii="Times New Roman" w:hAnsi="Times New Roman" w:cs="Times New Roman"/>
        </w:rPr>
        <w:t>–</w:t>
      </w:r>
      <w:r w:rsidRPr="00482FCC">
        <w:rPr>
          <w:rFonts w:ascii="Times New Roman" w:hAnsi="Times New Roman" w:cs="Times New Roman"/>
        </w:rPr>
        <w:t>955.</w:t>
      </w:r>
    </w:p>
    <w:p w14:paraId="700ADF71" w14:textId="3A947E04"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Ajzen, I. (1991). The theory of planned </w:t>
      </w:r>
      <w:r w:rsidR="008A2D85" w:rsidRPr="00482FCC">
        <w:rPr>
          <w:rFonts w:ascii="Times New Roman" w:hAnsi="Times New Roman" w:cs="Times New Roman"/>
        </w:rPr>
        <w:t>behaviour</w:t>
      </w:r>
      <w:r w:rsidRPr="00482FCC">
        <w:rPr>
          <w:rFonts w:ascii="Times New Roman" w:hAnsi="Times New Roman" w:cs="Times New Roman"/>
        </w:rPr>
        <w:t>. </w:t>
      </w:r>
      <w:r w:rsidRPr="00482FCC">
        <w:rPr>
          <w:rFonts w:ascii="Times New Roman" w:hAnsi="Times New Roman" w:cs="Times New Roman"/>
          <w:i/>
          <w:iCs/>
        </w:rPr>
        <w:t xml:space="preserve">Organizational Behavior and Human </w:t>
      </w:r>
      <w:r w:rsidR="006E49F5" w:rsidRPr="00482FCC">
        <w:rPr>
          <w:rFonts w:ascii="Times New Roman" w:hAnsi="Times New Roman" w:cs="Times New Roman"/>
          <w:i/>
          <w:iCs/>
        </w:rPr>
        <w:tab/>
      </w:r>
      <w:r w:rsidRPr="00482FCC">
        <w:rPr>
          <w:rFonts w:ascii="Times New Roman" w:hAnsi="Times New Roman" w:cs="Times New Roman"/>
          <w:i/>
          <w:iCs/>
        </w:rPr>
        <w:t>Decision Processes</w:t>
      </w:r>
      <w:r w:rsidRPr="00482FCC">
        <w:rPr>
          <w:rFonts w:ascii="Times New Roman" w:hAnsi="Times New Roman" w:cs="Times New Roman"/>
        </w:rPr>
        <w:t>, </w:t>
      </w:r>
      <w:r w:rsidRPr="00482FCC">
        <w:rPr>
          <w:rFonts w:ascii="Times New Roman" w:hAnsi="Times New Roman" w:cs="Times New Roman"/>
          <w:i/>
          <w:iCs/>
        </w:rPr>
        <w:t>50</w:t>
      </w:r>
      <w:r w:rsidRPr="00482FCC">
        <w:rPr>
          <w:rFonts w:ascii="Times New Roman" w:hAnsi="Times New Roman" w:cs="Times New Roman"/>
        </w:rPr>
        <w:t>(2), 179-211.</w:t>
      </w:r>
    </w:p>
    <w:p w14:paraId="6C2AF77F" w14:textId="065E8C11"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Ajzen, I. (2011). The theory of planned behaviour: Reactions and reflections. </w:t>
      </w:r>
      <w:r w:rsidRPr="00482FCC">
        <w:rPr>
          <w:rFonts w:ascii="Times New Roman" w:hAnsi="Times New Roman" w:cs="Times New Roman"/>
          <w:i/>
          <w:iCs/>
        </w:rPr>
        <w:t xml:space="preserve">Psychology &amp; </w:t>
      </w:r>
      <w:r w:rsidR="006E49F5" w:rsidRPr="00482FCC">
        <w:rPr>
          <w:rFonts w:ascii="Times New Roman" w:hAnsi="Times New Roman" w:cs="Times New Roman"/>
          <w:i/>
          <w:iCs/>
        </w:rPr>
        <w:tab/>
      </w:r>
      <w:r w:rsidRPr="00482FCC">
        <w:rPr>
          <w:rFonts w:ascii="Times New Roman" w:hAnsi="Times New Roman" w:cs="Times New Roman"/>
          <w:i/>
          <w:iCs/>
        </w:rPr>
        <w:t>health</w:t>
      </w:r>
      <w:r w:rsidRPr="00482FCC">
        <w:rPr>
          <w:rFonts w:ascii="Times New Roman" w:hAnsi="Times New Roman" w:cs="Times New Roman"/>
        </w:rPr>
        <w:t>, </w:t>
      </w:r>
      <w:r w:rsidRPr="00482FCC">
        <w:rPr>
          <w:rFonts w:ascii="Times New Roman" w:hAnsi="Times New Roman" w:cs="Times New Roman"/>
          <w:i/>
          <w:iCs/>
        </w:rPr>
        <w:t>26</w:t>
      </w:r>
      <w:r w:rsidRPr="00482FCC">
        <w:rPr>
          <w:rFonts w:ascii="Times New Roman" w:hAnsi="Times New Roman" w:cs="Times New Roman"/>
        </w:rPr>
        <w:t>(9), 1113-1127.</w:t>
      </w:r>
    </w:p>
    <w:p w14:paraId="4765B04F" w14:textId="0223CB07"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Andrei, L. (2023). Enhancing Visual Communication and Consumer Choices. A Theoretical </w:t>
      </w:r>
      <w:r w:rsidR="0005211B" w:rsidRPr="00482FCC">
        <w:rPr>
          <w:rFonts w:ascii="Times New Roman" w:hAnsi="Times New Roman" w:cs="Times New Roman"/>
        </w:rPr>
        <w:tab/>
      </w:r>
      <w:r w:rsidRPr="00482FCC">
        <w:rPr>
          <w:rFonts w:ascii="Times New Roman" w:hAnsi="Times New Roman" w:cs="Times New Roman"/>
        </w:rPr>
        <w:t>Overview on the Role of Packaging in the Decision-Making Process. </w:t>
      </w:r>
      <w:r w:rsidRPr="00482FCC">
        <w:rPr>
          <w:rFonts w:ascii="Times New Roman" w:hAnsi="Times New Roman" w:cs="Times New Roman"/>
          <w:i/>
          <w:iCs/>
        </w:rPr>
        <w:t xml:space="preserve">Styles of </w:t>
      </w:r>
      <w:r w:rsidR="0005211B" w:rsidRPr="00482FCC">
        <w:rPr>
          <w:rFonts w:ascii="Times New Roman" w:hAnsi="Times New Roman" w:cs="Times New Roman"/>
          <w:i/>
          <w:iCs/>
        </w:rPr>
        <w:tab/>
      </w:r>
      <w:r w:rsidRPr="00482FCC">
        <w:rPr>
          <w:rFonts w:ascii="Times New Roman" w:hAnsi="Times New Roman" w:cs="Times New Roman"/>
          <w:i/>
          <w:iCs/>
        </w:rPr>
        <w:t>Communication</w:t>
      </w:r>
      <w:r w:rsidRPr="00482FCC">
        <w:rPr>
          <w:rFonts w:ascii="Times New Roman" w:hAnsi="Times New Roman" w:cs="Times New Roman"/>
        </w:rPr>
        <w:t>, </w:t>
      </w:r>
      <w:r w:rsidRPr="00482FCC">
        <w:rPr>
          <w:rFonts w:ascii="Times New Roman" w:hAnsi="Times New Roman" w:cs="Times New Roman"/>
          <w:i/>
          <w:iCs/>
        </w:rPr>
        <w:t>15</w:t>
      </w:r>
      <w:r w:rsidRPr="00482FCC">
        <w:rPr>
          <w:rFonts w:ascii="Times New Roman" w:hAnsi="Times New Roman" w:cs="Times New Roman"/>
        </w:rPr>
        <w:t>(2).</w:t>
      </w:r>
    </w:p>
    <w:p w14:paraId="23299334" w14:textId="422DB8F7"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Andrus, O. (2024). Contemporary pricing strategies: shaping competitive products. </w:t>
      </w:r>
      <w:r w:rsidRPr="00482FCC">
        <w:rPr>
          <w:rFonts w:ascii="Times New Roman" w:hAnsi="Times New Roman" w:cs="Times New Roman"/>
          <w:i/>
          <w:iCs/>
        </w:rPr>
        <w:t xml:space="preserve">Publishing </w:t>
      </w:r>
      <w:r w:rsidR="0005211B" w:rsidRPr="00482FCC">
        <w:rPr>
          <w:rFonts w:ascii="Times New Roman" w:hAnsi="Times New Roman" w:cs="Times New Roman"/>
          <w:i/>
          <w:iCs/>
        </w:rPr>
        <w:tab/>
      </w:r>
      <w:r w:rsidRPr="00482FCC">
        <w:rPr>
          <w:rFonts w:ascii="Times New Roman" w:hAnsi="Times New Roman" w:cs="Times New Roman"/>
          <w:i/>
          <w:iCs/>
        </w:rPr>
        <w:t>House “Baltija Publishing”</w:t>
      </w:r>
      <w:r w:rsidRPr="00482FCC">
        <w:rPr>
          <w:rFonts w:ascii="Times New Roman" w:hAnsi="Times New Roman" w:cs="Times New Roman"/>
        </w:rPr>
        <w:t>.</w:t>
      </w:r>
    </w:p>
    <w:p w14:paraId="0D00F6D4" w14:textId="5ECBF63D"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Biswas, A., &amp; Roy, M. (2015). Leveraging factors for sustained green consumption behavior </w:t>
      </w:r>
      <w:r w:rsidR="0005211B" w:rsidRPr="00482FCC">
        <w:rPr>
          <w:rFonts w:ascii="Times New Roman" w:hAnsi="Times New Roman" w:cs="Times New Roman"/>
        </w:rPr>
        <w:tab/>
      </w:r>
      <w:r w:rsidRPr="00482FCC">
        <w:rPr>
          <w:rFonts w:ascii="Times New Roman" w:hAnsi="Times New Roman" w:cs="Times New Roman"/>
        </w:rPr>
        <w:t>based on consumption value perceptions: testing the structural model. </w:t>
      </w:r>
      <w:r w:rsidRPr="00482FCC">
        <w:rPr>
          <w:rFonts w:ascii="Times New Roman" w:hAnsi="Times New Roman" w:cs="Times New Roman"/>
          <w:i/>
          <w:iCs/>
        </w:rPr>
        <w:t xml:space="preserve">Journal of </w:t>
      </w:r>
      <w:r w:rsidR="0005211B" w:rsidRPr="00482FCC">
        <w:rPr>
          <w:rFonts w:ascii="Times New Roman" w:hAnsi="Times New Roman" w:cs="Times New Roman"/>
          <w:i/>
          <w:iCs/>
        </w:rPr>
        <w:tab/>
      </w:r>
      <w:r w:rsidRPr="00482FCC">
        <w:rPr>
          <w:rFonts w:ascii="Times New Roman" w:hAnsi="Times New Roman" w:cs="Times New Roman"/>
          <w:i/>
          <w:iCs/>
        </w:rPr>
        <w:t>Cleaner production</w:t>
      </w:r>
      <w:r w:rsidRPr="00482FCC">
        <w:rPr>
          <w:rFonts w:ascii="Times New Roman" w:hAnsi="Times New Roman" w:cs="Times New Roman"/>
        </w:rPr>
        <w:t>, </w:t>
      </w:r>
      <w:r w:rsidRPr="00482FCC">
        <w:rPr>
          <w:rFonts w:ascii="Times New Roman" w:hAnsi="Times New Roman" w:cs="Times New Roman"/>
          <w:i/>
          <w:iCs/>
        </w:rPr>
        <w:t>95</w:t>
      </w:r>
      <w:r w:rsidRPr="00482FCC">
        <w:rPr>
          <w:rFonts w:ascii="Times New Roman" w:hAnsi="Times New Roman" w:cs="Times New Roman"/>
        </w:rPr>
        <w:t>, 332-340.</w:t>
      </w:r>
    </w:p>
    <w:p w14:paraId="7909DAAF" w14:textId="06632F90"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lastRenderedPageBreak/>
        <w:t xml:space="preserve">Carvalho, C., Silva, C. J., &amp; Abreu, M. J. (2025). Circular </w:t>
      </w:r>
      <w:r w:rsidR="0005211B" w:rsidRPr="00482FCC">
        <w:rPr>
          <w:rFonts w:ascii="Times New Roman" w:hAnsi="Times New Roman" w:cs="Times New Roman"/>
        </w:rPr>
        <w:t>e</w:t>
      </w:r>
      <w:r w:rsidRPr="00482FCC">
        <w:rPr>
          <w:rFonts w:ascii="Times New Roman" w:hAnsi="Times New Roman" w:cs="Times New Roman"/>
        </w:rPr>
        <w:t xml:space="preserve">conomy: </w:t>
      </w:r>
      <w:r w:rsidR="0005211B" w:rsidRPr="00482FCC">
        <w:rPr>
          <w:rFonts w:ascii="Times New Roman" w:hAnsi="Times New Roman" w:cs="Times New Roman"/>
        </w:rPr>
        <w:t>A literature</w:t>
      </w:r>
      <w:r w:rsidRPr="00482FCC">
        <w:rPr>
          <w:rFonts w:ascii="Times New Roman" w:hAnsi="Times New Roman" w:cs="Times New Roman"/>
        </w:rPr>
        <w:t xml:space="preserve"> </w:t>
      </w:r>
      <w:r w:rsidR="0005211B" w:rsidRPr="00482FCC">
        <w:rPr>
          <w:rFonts w:ascii="Times New Roman" w:hAnsi="Times New Roman" w:cs="Times New Roman"/>
        </w:rPr>
        <w:t xml:space="preserve">review on the </w:t>
      </w:r>
      <w:r w:rsidR="0005211B" w:rsidRPr="00482FCC">
        <w:rPr>
          <w:rFonts w:ascii="Times New Roman" w:hAnsi="Times New Roman" w:cs="Times New Roman"/>
        </w:rPr>
        <w:tab/>
        <w:t xml:space="preserve">implementation of the digital product passport </w:t>
      </w:r>
      <w:r w:rsidRPr="00482FCC">
        <w:rPr>
          <w:rFonts w:ascii="Times New Roman" w:hAnsi="Times New Roman" w:cs="Times New Roman"/>
        </w:rPr>
        <w:t xml:space="preserve">(DPP) in the Textile </w:t>
      </w:r>
      <w:r w:rsidR="0005211B" w:rsidRPr="00482FCC">
        <w:rPr>
          <w:rFonts w:ascii="Times New Roman" w:hAnsi="Times New Roman" w:cs="Times New Roman"/>
        </w:rPr>
        <w:tab/>
      </w:r>
      <w:r w:rsidRPr="00482FCC">
        <w:rPr>
          <w:rFonts w:ascii="Times New Roman" w:hAnsi="Times New Roman" w:cs="Times New Roman"/>
        </w:rPr>
        <w:t>Industry. </w:t>
      </w:r>
      <w:r w:rsidRPr="00482FCC">
        <w:rPr>
          <w:rFonts w:ascii="Times New Roman" w:hAnsi="Times New Roman" w:cs="Times New Roman"/>
          <w:i/>
          <w:iCs/>
        </w:rPr>
        <w:t>Sustainability (2071-1050)</w:t>
      </w:r>
      <w:r w:rsidRPr="00482FCC">
        <w:rPr>
          <w:rFonts w:ascii="Times New Roman" w:hAnsi="Times New Roman" w:cs="Times New Roman"/>
        </w:rPr>
        <w:t>, </w:t>
      </w:r>
      <w:r w:rsidRPr="00482FCC">
        <w:rPr>
          <w:rFonts w:ascii="Times New Roman" w:hAnsi="Times New Roman" w:cs="Times New Roman"/>
          <w:i/>
          <w:iCs/>
        </w:rPr>
        <w:t>17</w:t>
      </w:r>
      <w:r w:rsidRPr="00482FCC">
        <w:rPr>
          <w:rFonts w:ascii="Times New Roman" w:hAnsi="Times New Roman" w:cs="Times New Roman"/>
        </w:rPr>
        <w:t>(5).</w:t>
      </w:r>
    </w:p>
    <w:p w14:paraId="218B7956" w14:textId="2C001CDB" w:rsidR="0005211B" w:rsidRPr="00482FCC" w:rsidRDefault="00647DAB" w:rsidP="003661BB">
      <w:pPr>
        <w:spacing w:line="360" w:lineRule="auto"/>
        <w:ind w:left="720" w:hanging="720"/>
        <w:jc w:val="both"/>
        <w:rPr>
          <w:rFonts w:ascii="Times New Roman" w:hAnsi="Times New Roman" w:cs="Times New Roman"/>
        </w:rPr>
      </w:pPr>
      <w:r w:rsidRPr="00482FCC">
        <w:rPr>
          <w:rFonts w:ascii="Times New Roman" w:hAnsi="Times New Roman" w:cs="Times New Roman"/>
        </w:rPr>
        <w:t xml:space="preserve">Ewuzie, C. O., Achi, A. D., &amp; Arum, O. M. (2024). </w:t>
      </w:r>
      <w:r w:rsidR="0005211B" w:rsidRPr="00482FCC">
        <w:rPr>
          <w:rFonts w:ascii="Times New Roman" w:hAnsi="Times New Roman" w:cs="Times New Roman"/>
        </w:rPr>
        <w:tab/>
        <w:t xml:space="preserve">Green marketing and willingness to pay more for green products. </w:t>
      </w:r>
      <w:r w:rsidRPr="00482FCC">
        <w:rPr>
          <w:rFonts w:ascii="Times New Roman" w:hAnsi="Times New Roman" w:cs="Times New Roman"/>
          <w:i/>
          <w:iCs/>
        </w:rPr>
        <w:t xml:space="preserve">International Journal of Multidisciplinary </w:t>
      </w:r>
      <w:r w:rsidR="0005211B" w:rsidRPr="00482FCC">
        <w:rPr>
          <w:rFonts w:ascii="Times New Roman" w:hAnsi="Times New Roman" w:cs="Times New Roman"/>
          <w:i/>
          <w:iCs/>
        </w:rPr>
        <w:tab/>
      </w:r>
      <w:r w:rsidRPr="00482FCC">
        <w:rPr>
          <w:rFonts w:ascii="Times New Roman" w:hAnsi="Times New Roman" w:cs="Times New Roman"/>
          <w:i/>
          <w:iCs/>
        </w:rPr>
        <w:t>Research and Growth Evaluation</w:t>
      </w:r>
      <w:r w:rsidRPr="00482FCC">
        <w:rPr>
          <w:rFonts w:ascii="Times New Roman" w:hAnsi="Times New Roman" w:cs="Times New Roman"/>
        </w:rPr>
        <w:t>, 5(4), 680-687.</w:t>
      </w:r>
    </w:p>
    <w:p w14:paraId="3F5225D5" w14:textId="468BB817"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Gabriel, P. O., Yusuf, T. B., Omekara, C. L., Ishola, O. J., Ogungbenro, A. M., &amp; Obiribea-</w:t>
      </w:r>
      <w:r w:rsidR="0005211B" w:rsidRPr="00482FCC">
        <w:rPr>
          <w:rFonts w:ascii="Times New Roman" w:hAnsi="Times New Roman" w:cs="Times New Roman"/>
        </w:rPr>
        <w:tab/>
      </w:r>
      <w:r w:rsidRPr="00482FCC">
        <w:rPr>
          <w:rFonts w:ascii="Times New Roman" w:hAnsi="Times New Roman" w:cs="Times New Roman"/>
        </w:rPr>
        <w:t xml:space="preserve">Addo, P. (2024, April). Sustainable </w:t>
      </w:r>
      <w:r w:rsidR="0005211B" w:rsidRPr="00482FCC">
        <w:rPr>
          <w:rFonts w:ascii="Times New Roman" w:hAnsi="Times New Roman" w:cs="Times New Roman"/>
        </w:rPr>
        <w:t>consumption patterns, non-biodegradable wastes reduction and environmental protection</w:t>
      </w:r>
      <w:r w:rsidRPr="00482FCC">
        <w:rPr>
          <w:rFonts w:ascii="Times New Roman" w:hAnsi="Times New Roman" w:cs="Times New Roman"/>
        </w:rPr>
        <w:t xml:space="preserve"> in Kwara State, Nigeria. In </w:t>
      </w:r>
      <w:r w:rsidRPr="00482FCC">
        <w:rPr>
          <w:rFonts w:ascii="Times New Roman" w:hAnsi="Times New Roman" w:cs="Times New Roman"/>
          <w:i/>
          <w:iCs/>
        </w:rPr>
        <w:t xml:space="preserve">2024 International </w:t>
      </w:r>
      <w:r w:rsidR="0005211B" w:rsidRPr="00482FCC">
        <w:rPr>
          <w:rFonts w:ascii="Times New Roman" w:hAnsi="Times New Roman" w:cs="Times New Roman"/>
          <w:i/>
          <w:iCs/>
        </w:rPr>
        <w:tab/>
      </w:r>
      <w:r w:rsidRPr="00482FCC">
        <w:rPr>
          <w:rFonts w:ascii="Times New Roman" w:hAnsi="Times New Roman" w:cs="Times New Roman"/>
          <w:i/>
          <w:iCs/>
        </w:rPr>
        <w:t xml:space="preserve">Conference on Science, Engineering and Business for Driving Sustainable </w:t>
      </w:r>
      <w:r w:rsidR="0005211B" w:rsidRPr="00482FCC">
        <w:rPr>
          <w:rFonts w:ascii="Times New Roman" w:hAnsi="Times New Roman" w:cs="Times New Roman"/>
          <w:i/>
          <w:iCs/>
        </w:rPr>
        <w:tab/>
      </w:r>
      <w:r w:rsidRPr="00482FCC">
        <w:rPr>
          <w:rFonts w:ascii="Times New Roman" w:hAnsi="Times New Roman" w:cs="Times New Roman"/>
          <w:i/>
          <w:iCs/>
        </w:rPr>
        <w:t>Development Goals (SEB4SDG)</w:t>
      </w:r>
      <w:r w:rsidRPr="00482FCC">
        <w:rPr>
          <w:rFonts w:ascii="Times New Roman" w:hAnsi="Times New Roman" w:cs="Times New Roman"/>
        </w:rPr>
        <w:t> (pp. 1-10). IEEE.</w:t>
      </w:r>
    </w:p>
    <w:p w14:paraId="4D822728" w14:textId="792232BA"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Gomes, S., Lopes, J. M., &amp; Nogueira, S. (2023). Willingness to pay more for green products: </w:t>
      </w:r>
      <w:r w:rsidR="0005211B" w:rsidRPr="00482FCC">
        <w:rPr>
          <w:rFonts w:ascii="Times New Roman" w:hAnsi="Times New Roman" w:cs="Times New Roman"/>
        </w:rPr>
        <w:tab/>
      </w:r>
      <w:r w:rsidRPr="00482FCC">
        <w:rPr>
          <w:rFonts w:ascii="Times New Roman" w:hAnsi="Times New Roman" w:cs="Times New Roman"/>
        </w:rPr>
        <w:t>A critical challenge for Gen Z. </w:t>
      </w:r>
      <w:r w:rsidRPr="00482FCC">
        <w:rPr>
          <w:rFonts w:ascii="Times New Roman" w:hAnsi="Times New Roman" w:cs="Times New Roman"/>
          <w:i/>
          <w:iCs/>
        </w:rPr>
        <w:t>Journal of Cleaner Production</w:t>
      </w:r>
      <w:r w:rsidRPr="00482FCC">
        <w:rPr>
          <w:rFonts w:ascii="Times New Roman" w:hAnsi="Times New Roman" w:cs="Times New Roman"/>
        </w:rPr>
        <w:t>, </w:t>
      </w:r>
      <w:r w:rsidRPr="00482FCC">
        <w:rPr>
          <w:rFonts w:ascii="Times New Roman" w:hAnsi="Times New Roman" w:cs="Times New Roman"/>
          <w:i/>
          <w:iCs/>
        </w:rPr>
        <w:t>390</w:t>
      </w:r>
      <w:r w:rsidRPr="00482FCC">
        <w:rPr>
          <w:rFonts w:ascii="Times New Roman" w:hAnsi="Times New Roman" w:cs="Times New Roman"/>
        </w:rPr>
        <w:t>, 136092.</w:t>
      </w:r>
    </w:p>
    <w:p w14:paraId="15250E03" w14:textId="1CA17B9C"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Grandi, B., &amp; Cardinali, M. G. (2025). The distance between sustainability store image and </w:t>
      </w:r>
      <w:r w:rsidR="00A34998" w:rsidRPr="00482FCC">
        <w:rPr>
          <w:rFonts w:ascii="Times New Roman" w:hAnsi="Times New Roman" w:cs="Times New Roman"/>
        </w:rPr>
        <w:tab/>
      </w:r>
      <w:r w:rsidRPr="00482FCC">
        <w:rPr>
          <w:rFonts w:ascii="Times New Roman" w:hAnsi="Times New Roman" w:cs="Times New Roman"/>
        </w:rPr>
        <w:t>store identity inside grocery stores. </w:t>
      </w:r>
      <w:r w:rsidRPr="00482FCC">
        <w:rPr>
          <w:rFonts w:ascii="Times New Roman" w:hAnsi="Times New Roman" w:cs="Times New Roman"/>
          <w:i/>
          <w:iCs/>
        </w:rPr>
        <w:t xml:space="preserve">International Journal of Retail &amp; Distribution </w:t>
      </w:r>
      <w:r w:rsidR="00A34998" w:rsidRPr="00482FCC">
        <w:rPr>
          <w:rFonts w:ascii="Times New Roman" w:hAnsi="Times New Roman" w:cs="Times New Roman"/>
          <w:i/>
          <w:iCs/>
        </w:rPr>
        <w:tab/>
      </w:r>
      <w:r w:rsidRPr="00482FCC">
        <w:rPr>
          <w:rFonts w:ascii="Times New Roman" w:hAnsi="Times New Roman" w:cs="Times New Roman"/>
          <w:i/>
          <w:iCs/>
        </w:rPr>
        <w:t>Management</w:t>
      </w:r>
      <w:r w:rsidRPr="00482FCC">
        <w:rPr>
          <w:rFonts w:ascii="Times New Roman" w:hAnsi="Times New Roman" w:cs="Times New Roman"/>
        </w:rPr>
        <w:t>, </w:t>
      </w:r>
      <w:r w:rsidRPr="00482FCC">
        <w:rPr>
          <w:rFonts w:ascii="Times New Roman" w:hAnsi="Times New Roman" w:cs="Times New Roman"/>
          <w:i/>
          <w:iCs/>
        </w:rPr>
        <w:t>53</w:t>
      </w:r>
      <w:r w:rsidRPr="00482FCC">
        <w:rPr>
          <w:rFonts w:ascii="Times New Roman" w:hAnsi="Times New Roman" w:cs="Times New Roman"/>
        </w:rPr>
        <w:t>(13), 90-103.</w:t>
      </w:r>
    </w:p>
    <w:p w14:paraId="499752D2" w14:textId="4A28B5B1"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Hageman, E., Kumar, V., Duong, L., Kumari, A., &amp; McAuliffe, E. (2024). Do fast fashion </w:t>
      </w:r>
      <w:r w:rsidR="00A34998" w:rsidRPr="00482FCC">
        <w:rPr>
          <w:rFonts w:ascii="Times New Roman" w:hAnsi="Times New Roman" w:cs="Times New Roman"/>
        </w:rPr>
        <w:tab/>
      </w:r>
      <w:r w:rsidRPr="00482FCC">
        <w:rPr>
          <w:rFonts w:ascii="Times New Roman" w:hAnsi="Times New Roman" w:cs="Times New Roman"/>
        </w:rPr>
        <w:t xml:space="preserve">sustainable business strategies influence attitude, awareness and behaviours of female </w:t>
      </w:r>
      <w:r w:rsidR="00A34998" w:rsidRPr="00482FCC">
        <w:rPr>
          <w:rFonts w:ascii="Times New Roman" w:hAnsi="Times New Roman" w:cs="Times New Roman"/>
        </w:rPr>
        <w:tab/>
      </w:r>
      <w:r w:rsidRPr="00482FCC">
        <w:rPr>
          <w:rFonts w:ascii="Times New Roman" w:hAnsi="Times New Roman" w:cs="Times New Roman"/>
        </w:rPr>
        <w:t>consumers?. </w:t>
      </w:r>
      <w:r w:rsidRPr="00482FCC">
        <w:rPr>
          <w:rFonts w:ascii="Times New Roman" w:hAnsi="Times New Roman" w:cs="Times New Roman"/>
          <w:i/>
          <w:iCs/>
        </w:rPr>
        <w:t>Business Strategy and the Environment</w:t>
      </w:r>
      <w:r w:rsidRPr="00482FCC">
        <w:rPr>
          <w:rFonts w:ascii="Times New Roman" w:hAnsi="Times New Roman" w:cs="Times New Roman"/>
        </w:rPr>
        <w:t>, </w:t>
      </w:r>
      <w:r w:rsidRPr="00482FCC">
        <w:rPr>
          <w:rFonts w:ascii="Times New Roman" w:hAnsi="Times New Roman" w:cs="Times New Roman"/>
          <w:i/>
          <w:iCs/>
        </w:rPr>
        <w:t>33</w:t>
      </w:r>
      <w:r w:rsidRPr="00482FCC">
        <w:rPr>
          <w:rFonts w:ascii="Times New Roman" w:hAnsi="Times New Roman" w:cs="Times New Roman"/>
        </w:rPr>
        <w:t>(2), 1081-1098.</w:t>
      </w:r>
    </w:p>
    <w:p w14:paraId="4D5111F0" w14:textId="234E32B8"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Idiaye, C. O., Ogidan, O. A., &amp; Oluwatayo, I. B. (2020). Perception, risk attitude and </w:t>
      </w:r>
      <w:r w:rsidR="00A34998" w:rsidRPr="00482FCC">
        <w:rPr>
          <w:rFonts w:ascii="Times New Roman" w:hAnsi="Times New Roman" w:cs="Times New Roman"/>
        </w:rPr>
        <w:tab/>
      </w:r>
      <w:r w:rsidRPr="00482FCC">
        <w:rPr>
          <w:rFonts w:ascii="Times New Roman" w:hAnsi="Times New Roman" w:cs="Times New Roman"/>
        </w:rPr>
        <w:t xml:space="preserve">willingness to pay for safety and innovative attributes of processed chicken meat in Oyo </w:t>
      </w:r>
      <w:r w:rsidR="00A34998" w:rsidRPr="00482FCC">
        <w:rPr>
          <w:rFonts w:ascii="Times New Roman" w:hAnsi="Times New Roman" w:cs="Times New Roman"/>
        </w:rPr>
        <w:tab/>
      </w:r>
      <w:r w:rsidRPr="00482FCC">
        <w:rPr>
          <w:rFonts w:ascii="Times New Roman" w:hAnsi="Times New Roman" w:cs="Times New Roman"/>
        </w:rPr>
        <w:t>State, Nigeria. </w:t>
      </w:r>
      <w:r w:rsidRPr="00482FCC">
        <w:rPr>
          <w:rFonts w:ascii="Times New Roman" w:hAnsi="Times New Roman" w:cs="Times New Roman"/>
          <w:i/>
          <w:iCs/>
        </w:rPr>
        <w:t>Italian Journal of Food Safety</w:t>
      </w:r>
      <w:r w:rsidRPr="00482FCC">
        <w:rPr>
          <w:rFonts w:ascii="Times New Roman" w:hAnsi="Times New Roman" w:cs="Times New Roman"/>
        </w:rPr>
        <w:t>, </w:t>
      </w:r>
      <w:r w:rsidRPr="00482FCC">
        <w:rPr>
          <w:rFonts w:ascii="Times New Roman" w:hAnsi="Times New Roman" w:cs="Times New Roman"/>
          <w:i/>
          <w:iCs/>
        </w:rPr>
        <w:t>9</w:t>
      </w:r>
      <w:r w:rsidRPr="00482FCC">
        <w:rPr>
          <w:rFonts w:ascii="Times New Roman" w:hAnsi="Times New Roman" w:cs="Times New Roman"/>
        </w:rPr>
        <w:t>(3), 8506.</w:t>
      </w:r>
    </w:p>
    <w:p w14:paraId="3A2A0140" w14:textId="352B82ED"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Kumar, P., Polonsky, M., Dwivedi, Y. K., &amp; Kar, A. (2021). Green information quality and </w:t>
      </w:r>
      <w:r w:rsidR="00A34998" w:rsidRPr="00482FCC">
        <w:rPr>
          <w:rFonts w:ascii="Times New Roman" w:hAnsi="Times New Roman" w:cs="Times New Roman"/>
        </w:rPr>
        <w:tab/>
      </w:r>
      <w:r w:rsidRPr="00482FCC">
        <w:rPr>
          <w:rFonts w:ascii="Times New Roman" w:hAnsi="Times New Roman" w:cs="Times New Roman"/>
        </w:rPr>
        <w:t xml:space="preserve">green brand evaluation: the moderating effects of eco-label credibility and consumer </w:t>
      </w:r>
      <w:r w:rsidR="00A34998" w:rsidRPr="00482FCC">
        <w:rPr>
          <w:rFonts w:ascii="Times New Roman" w:hAnsi="Times New Roman" w:cs="Times New Roman"/>
        </w:rPr>
        <w:tab/>
      </w:r>
      <w:r w:rsidRPr="00482FCC">
        <w:rPr>
          <w:rFonts w:ascii="Times New Roman" w:hAnsi="Times New Roman" w:cs="Times New Roman"/>
        </w:rPr>
        <w:t>knowledge. </w:t>
      </w:r>
      <w:r w:rsidRPr="00482FCC">
        <w:rPr>
          <w:rFonts w:ascii="Times New Roman" w:hAnsi="Times New Roman" w:cs="Times New Roman"/>
          <w:i/>
          <w:iCs/>
        </w:rPr>
        <w:t>European Journal of Marketing</w:t>
      </w:r>
      <w:r w:rsidRPr="00482FCC">
        <w:rPr>
          <w:rFonts w:ascii="Times New Roman" w:hAnsi="Times New Roman" w:cs="Times New Roman"/>
        </w:rPr>
        <w:t>, </w:t>
      </w:r>
      <w:r w:rsidRPr="00482FCC">
        <w:rPr>
          <w:rFonts w:ascii="Times New Roman" w:hAnsi="Times New Roman" w:cs="Times New Roman"/>
          <w:i/>
          <w:iCs/>
        </w:rPr>
        <w:t>55</w:t>
      </w:r>
      <w:r w:rsidRPr="00482FCC">
        <w:rPr>
          <w:rFonts w:ascii="Times New Roman" w:hAnsi="Times New Roman" w:cs="Times New Roman"/>
        </w:rPr>
        <w:t>(7), 2037-2071.</w:t>
      </w:r>
    </w:p>
    <w:p w14:paraId="787EBEA7" w14:textId="051E2A97"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Mahmoud, M. A., Tsetse, E. K. K., Tulasi, E. E., &amp; Muddey, D. K. (2022). Green packaging, </w:t>
      </w:r>
      <w:r w:rsidR="00A34998" w:rsidRPr="00482FCC">
        <w:rPr>
          <w:rFonts w:ascii="Times New Roman" w:hAnsi="Times New Roman" w:cs="Times New Roman"/>
        </w:rPr>
        <w:tab/>
      </w:r>
      <w:r w:rsidRPr="00482FCC">
        <w:rPr>
          <w:rFonts w:ascii="Times New Roman" w:hAnsi="Times New Roman" w:cs="Times New Roman"/>
        </w:rPr>
        <w:t xml:space="preserve">environmental awareness, willingness to pay and consumers’ purchase </w:t>
      </w:r>
      <w:r w:rsidR="00A34998" w:rsidRPr="00482FCC">
        <w:rPr>
          <w:rFonts w:ascii="Times New Roman" w:hAnsi="Times New Roman" w:cs="Times New Roman"/>
        </w:rPr>
        <w:tab/>
      </w:r>
      <w:r w:rsidRPr="00482FCC">
        <w:rPr>
          <w:rFonts w:ascii="Times New Roman" w:hAnsi="Times New Roman" w:cs="Times New Roman"/>
        </w:rPr>
        <w:t>decisions. </w:t>
      </w:r>
      <w:r w:rsidRPr="00482FCC">
        <w:rPr>
          <w:rFonts w:ascii="Times New Roman" w:hAnsi="Times New Roman" w:cs="Times New Roman"/>
          <w:i/>
          <w:iCs/>
        </w:rPr>
        <w:t>Sustainability</w:t>
      </w:r>
      <w:r w:rsidRPr="00482FCC">
        <w:rPr>
          <w:rFonts w:ascii="Times New Roman" w:hAnsi="Times New Roman" w:cs="Times New Roman"/>
        </w:rPr>
        <w:t>, </w:t>
      </w:r>
      <w:r w:rsidRPr="00482FCC">
        <w:rPr>
          <w:rFonts w:ascii="Times New Roman" w:hAnsi="Times New Roman" w:cs="Times New Roman"/>
          <w:i/>
          <w:iCs/>
        </w:rPr>
        <w:t>14</w:t>
      </w:r>
      <w:r w:rsidRPr="00482FCC">
        <w:rPr>
          <w:rFonts w:ascii="Times New Roman" w:hAnsi="Times New Roman" w:cs="Times New Roman"/>
        </w:rPr>
        <w:t>(23), 16091.</w:t>
      </w:r>
    </w:p>
    <w:p w14:paraId="3164F4AB" w14:textId="7BBC0734"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lastRenderedPageBreak/>
        <w:t>Martina, F. (2024). </w:t>
      </w:r>
      <w:r w:rsidRPr="00482FCC">
        <w:rPr>
          <w:rFonts w:ascii="Times New Roman" w:hAnsi="Times New Roman" w:cs="Times New Roman"/>
          <w:i/>
          <w:iCs/>
        </w:rPr>
        <w:t xml:space="preserve">Exploring food brand loyalty: the effects of clear label concept on product </w:t>
      </w:r>
      <w:r w:rsidR="00A34998" w:rsidRPr="00482FCC">
        <w:rPr>
          <w:rFonts w:ascii="Times New Roman" w:hAnsi="Times New Roman" w:cs="Times New Roman"/>
          <w:i/>
          <w:iCs/>
        </w:rPr>
        <w:tab/>
      </w:r>
      <w:r w:rsidRPr="00482FCC">
        <w:rPr>
          <w:rFonts w:ascii="Times New Roman" w:hAnsi="Times New Roman" w:cs="Times New Roman"/>
          <w:i/>
          <w:iCs/>
        </w:rPr>
        <w:t>quality and brand credibility perception</w:t>
      </w:r>
      <w:r w:rsidRPr="00482FCC">
        <w:rPr>
          <w:rFonts w:ascii="Times New Roman" w:hAnsi="Times New Roman" w:cs="Times New Roman"/>
        </w:rPr>
        <w:t xml:space="preserve"> (Doctoral dissertation, University of Rijeka. </w:t>
      </w:r>
      <w:r w:rsidR="00C24F68" w:rsidRPr="00482FCC">
        <w:rPr>
          <w:rFonts w:ascii="Times New Roman" w:hAnsi="Times New Roman" w:cs="Times New Roman"/>
        </w:rPr>
        <w:tab/>
      </w:r>
      <w:r w:rsidRPr="00482FCC">
        <w:rPr>
          <w:rFonts w:ascii="Times New Roman" w:hAnsi="Times New Roman" w:cs="Times New Roman"/>
        </w:rPr>
        <w:t>Faculty of Economics and Business).</w:t>
      </w:r>
    </w:p>
    <w:p w14:paraId="090B2276" w14:textId="3813EDE6"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Nakaishi, T., &amp; Chapman, A. (2024). Eco-labels as a communication and policy tool: A </w:t>
      </w:r>
      <w:r w:rsidR="00C24F68" w:rsidRPr="00482FCC">
        <w:rPr>
          <w:rFonts w:ascii="Times New Roman" w:hAnsi="Times New Roman" w:cs="Times New Roman"/>
        </w:rPr>
        <w:tab/>
      </w:r>
      <w:r w:rsidRPr="00482FCC">
        <w:rPr>
          <w:rFonts w:ascii="Times New Roman" w:hAnsi="Times New Roman" w:cs="Times New Roman"/>
        </w:rPr>
        <w:t>comprehensive review of academic literature and global label initiatives. </w:t>
      </w:r>
      <w:r w:rsidRPr="00482FCC">
        <w:rPr>
          <w:rFonts w:ascii="Times New Roman" w:hAnsi="Times New Roman" w:cs="Times New Roman"/>
          <w:i/>
          <w:iCs/>
        </w:rPr>
        <w:t xml:space="preserve">Renewable </w:t>
      </w:r>
      <w:r w:rsidR="00C24F68" w:rsidRPr="00482FCC">
        <w:rPr>
          <w:rFonts w:ascii="Times New Roman" w:hAnsi="Times New Roman" w:cs="Times New Roman"/>
          <w:i/>
          <w:iCs/>
        </w:rPr>
        <w:tab/>
      </w:r>
      <w:r w:rsidRPr="00482FCC">
        <w:rPr>
          <w:rFonts w:ascii="Times New Roman" w:hAnsi="Times New Roman" w:cs="Times New Roman"/>
          <w:i/>
          <w:iCs/>
        </w:rPr>
        <w:t>and Sustainable Energy Reviews</w:t>
      </w:r>
      <w:r w:rsidRPr="00482FCC">
        <w:rPr>
          <w:rFonts w:ascii="Times New Roman" w:hAnsi="Times New Roman" w:cs="Times New Roman"/>
        </w:rPr>
        <w:t>, </w:t>
      </w:r>
      <w:r w:rsidRPr="00482FCC">
        <w:rPr>
          <w:rFonts w:ascii="Times New Roman" w:hAnsi="Times New Roman" w:cs="Times New Roman"/>
          <w:i/>
          <w:iCs/>
        </w:rPr>
        <w:t>202</w:t>
      </w:r>
      <w:r w:rsidRPr="00482FCC">
        <w:rPr>
          <w:rFonts w:ascii="Times New Roman" w:hAnsi="Times New Roman" w:cs="Times New Roman"/>
        </w:rPr>
        <w:t>, 114708.</w:t>
      </w:r>
    </w:p>
    <w:p w14:paraId="0B35B048" w14:textId="6F9A5E41"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Nemes, N., Scanlan, S. J., Smith, P., Smith, T., Aronczyk, M., Hill, S., ... &amp; Stabinsky, D. </w:t>
      </w:r>
      <w:r w:rsidR="00C24F68" w:rsidRPr="00482FCC">
        <w:rPr>
          <w:rFonts w:ascii="Times New Roman" w:hAnsi="Times New Roman" w:cs="Times New Roman"/>
        </w:rPr>
        <w:tab/>
      </w:r>
      <w:r w:rsidRPr="00482FCC">
        <w:rPr>
          <w:rFonts w:ascii="Times New Roman" w:hAnsi="Times New Roman" w:cs="Times New Roman"/>
        </w:rPr>
        <w:t>(2022). An integrated framework to assess greenwashing. </w:t>
      </w:r>
      <w:r w:rsidRPr="00482FCC">
        <w:rPr>
          <w:rFonts w:ascii="Times New Roman" w:hAnsi="Times New Roman" w:cs="Times New Roman"/>
          <w:i/>
          <w:iCs/>
        </w:rPr>
        <w:t>Sustainability</w:t>
      </w:r>
      <w:r w:rsidRPr="00482FCC">
        <w:rPr>
          <w:rFonts w:ascii="Times New Roman" w:hAnsi="Times New Roman" w:cs="Times New Roman"/>
        </w:rPr>
        <w:t>, </w:t>
      </w:r>
      <w:r w:rsidRPr="00482FCC">
        <w:rPr>
          <w:rFonts w:ascii="Times New Roman" w:hAnsi="Times New Roman" w:cs="Times New Roman"/>
          <w:i/>
          <w:iCs/>
        </w:rPr>
        <w:t>14</w:t>
      </w:r>
      <w:r w:rsidRPr="00482FCC">
        <w:rPr>
          <w:rFonts w:ascii="Times New Roman" w:hAnsi="Times New Roman" w:cs="Times New Roman"/>
        </w:rPr>
        <w:t>(8), 4431.</w:t>
      </w:r>
    </w:p>
    <w:p w14:paraId="25B88277" w14:textId="086AA4E4"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Patel, K. R. (2023). Harmonizing sustainability, functionality, and cost: navigating responsible </w:t>
      </w:r>
      <w:r w:rsidR="00C24F68" w:rsidRPr="00482FCC">
        <w:rPr>
          <w:rFonts w:ascii="Times New Roman" w:hAnsi="Times New Roman" w:cs="Times New Roman"/>
        </w:rPr>
        <w:tab/>
      </w:r>
      <w:r w:rsidRPr="00482FCC">
        <w:rPr>
          <w:rFonts w:ascii="Times New Roman" w:hAnsi="Times New Roman" w:cs="Times New Roman"/>
        </w:rPr>
        <w:t>packaging innovations in modern supply chains. </w:t>
      </w:r>
      <w:r w:rsidRPr="00482FCC">
        <w:rPr>
          <w:rFonts w:ascii="Times New Roman" w:hAnsi="Times New Roman" w:cs="Times New Roman"/>
          <w:i/>
          <w:iCs/>
        </w:rPr>
        <w:t xml:space="preserve">American Journal of Economic and </w:t>
      </w:r>
      <w:r w:rsidR="00C24F68" w:rsidRPr="00482FCC">
        <w:rPr>
          <w:rFonts w:ascii="Times New Roman" w:hAnsi="Times New Roman" w:cs="Times New Roman"/>
          <w:i/>
          <w:iCs/>
        </w:rPr>
        <w:tab/>
      </w:r>
      <w:r w:rsidRPr="00482FCC">
        <w:rPr>
          <w:rFonts w:ascii="Times New Roman" w:hAnsi="Times New Roman" w:cs="Times New Roman"/>
          <w:i/>
          <w:iCs/>
        </w:rPr>
        <w:t>Management Business (AJEMB)</w:t>
      </w:r>
      <w:r w:rsidRPr="00482FCC">
        <w:rPr>
          <w:rFonts w:ascii="Times New Roman" w:hAnsi="Times New Roman" w:cs="Times New Roman"/>
        </w:rPr>
        <w:t>, </w:t>
      </w:r>
      <w:r w:rsidRPr="00482FCC">
        <w:rPr>
          <w:rFonts w:ascii="Times New Roman" w:hAnsi="Times New Roman" w:cs="Times New Roman"/>
          <w:i/>
          <w:iCs/>
        </w:rPr>
        <w:t>2</w:t>
      </w:r>
      <w:r w:rsidRPr="00482FCC">
        <w:rPr>
          <w:rFonts w:ascii="Times New Roman" w:hAnsi="Times New Roman" w:cs="Times New Roman"/>
        </w:rPr>
        <w:t>(8), 287-300.</w:t>
      </w:r>
    </w:p>
    <w:p w14:paraId="3271CD92" w14:textId="7E4476B9"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Pérez, J., &amp; López-Ospina, H. (2022). Competitive pricing for multiple market segments </w:t>
      </w:r>
      <w:r w:rsidR="00C24F68" w:rsidRPr="00482FCC">
        <w:rPr>
          <w:rFonts w:ascii="Times New Roman" w:hAnsi="Times New Roman" w:cs="Times New Roman"/>
        </w:rPr>
        <w:tab/>
      </w:r>
      <w:r w:rsidRPr="00482FCC">
        <w:rPr>
          <w:rFonts w:ascii="Times New Roman" w:hAnsi="Times New Roman" w:cs="Times New Roman"/>
        </w:rPr>
        <w:t>considering consumers’ willingness to pay. </w:t>
      </w:r>
      <w:r w:rsidRPr="00482FCC">
        <w:rPr>
          <w:rFonts w:ascii="Times New Roman" w:hAnsi="Times New Roman" w:cs="Times New Roman"/>
          <w:i/>
          <w:iCs/>
        </w:rPr>
        <w:t>Mathematics</w:t>
      </w:r>
      <w:r w:rsidRPr="00482FCC">
        <w:rPr>
          <w:rFonts w:ascii="Times New Roman" w:hAnsi="Times New Roman" w:cs="Times New Roman"/>
        </w:rPr>
        <w:t>, </w:t>
      </w:r>
      <w:r w:rsidRPr="00482FCC">
        <w:rPr>
          <w:rFonts w:ascii="Times New Roman" w:hAnsi="Times New Roman" w:cs="Times New Roman"/>
          <w:i/>
          <w:iCs/>
        </w:rPr>
        <w:t>10</w:t>
      </w:r>
      <w:r w:rsidRPr="00482FCC">
        <w:rPr>
          <w:rFonts w:ascii="Times New Roman" w:hAnsi="Times New Roman" w:cs="Times New Roman"/>
        </w:rPr>
        <w:t>(19), 3600.</w:t>
      </w:r>
    </w:p>
    <w:p w14:paraId="52E838AC" w14:textId="1092E225"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Perez-Riverol, Y., Csordas, A., Bai, J., Bernal-Llinares, M., Hewapathirana, S., Kundu, D. J., </w:t>
      </w:r>
      <w:r w:rsidR="00C24F68" w:rsidRPr="00482FCC">
        <w:rPr>
          <w:rFonts w:ascii="Times New Roman" w:hAnsi="Times New Roman" w:cs="Times New Roman"/>
        </w:rPr>
        <w:tab/>
      </w:r>
      <w:r w:rsidRPr="00482FCC">
        <w:rPr>
          <w:rFonts w:ascii="Times New Roman" w:hAnsi="Times New Roman" w:cs="Times New Roman"/>
        </w:rPr>
        <w:t xml:space="preserve">... &amp; Vizcaíno, J. A. (2019). The PRIDE database and related tools and resources in </w:t>
      </w:r>
      <w:r w:rsidR="00C24F68" w:rsidRPr="00482FCC">
        <w:rPr>
          <w:rFonts w:ascii="Times New Roman" w:hAnsi="Times New Roman" w:cs="Times New Roman"/>
        </w:rPr>
        <w:tab/>
      </w:r>
      <w:r w:rsidRPr="00482FCC">
        <w:rPr>
          <w:rFonts w:ascii="Times New Roman" w:hAnsi="Times New Roman" w:cs="Times New Roman"/>
        </w:rPr>
        <w:t>2019: improving support for quantification data. </w:t>
      </w:r>
      <w:r w:rsidRPr="00482FCC">
        <w:rPr>
          <w:rFonts w:ascii="Times New Roman" w:hAnsi="Times New Roman" w:cs="Times New Roman"/>
          <w:i/>
          <w:iCs/>
        </w:rPr>
        <w:t>Nucleic acids research</w:t>
      </w:r>
      <w:r w:rsidRPr="00482FCC">
        <w:rPr>
          <w:rFonts w:ascii="Times New Roman" w:hAnsi="Times New Roman" w:cs="Times New Roman"/>
        </w:rPr>
        <w:t>, </w:t>
      </w:r>
      <w:r w:rsidRPr="00482FCC">
        <w:rPr>
          <w:rFonts w:ascii="Times New Roman" w:hAnsi="Times New Roman" w:cs="Times New Roman"/>
          <w:i/>
          <w:iCs/>
        </w:rPr>
        <w:t>47</w:t>
      </w:r>
      <w:r w:rsidRPr="00482FCC">
        <w:rPr>
          <w:rFonts w:ascii="Times New Roman" w:hAnsi="Times New Roman" w:cs="Times New Roman"/>
        </w:rPr>
        <w:t xml:space="preserve">(D1), </w:t>
      </w:r>
      <w:r w:rsidR="00C24F68" w:rsidRPr="00482FCC">
        <w:rPr>
          <w:rFonts w:ascii="Times New Roman" w:hAnsi="Times New Roman" w:cs="Times New Roman"/>
        </w:rPr>
        <w:tab/>
      </w:r>
      <w:r w:rsidRPr="00482FCC">
        <w:rPr>
          <w:rFonts w:ascii="Times New Roman" w:hAnsi="Times New Roman" w:cs="Times New Roman"/>
        </w:rPr>
        <w:t>D442-D450.</w:t>
      </w:r>
    </w:p>
    <w:p w14:paraId="31D30822" w14:textId="36AB12A2"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Philip, L. N. (2024). Investigating Consumers’ Willingness to Pay for Eco-Friendly Products </w:t>
      </w:r>
      <w:r w:rsidR="00C24F68" w:rsidRPr="00482FCC">
        <w:rPr>
          <w:rFonts w:ascii="Times New Roman" w:hAnsi="Times New Roman" w:cs="Times New Roman"/>
        </w:rPr>
        <w:tab/>
      </w:r>
      <w:r w:rsidRPr="00482FCC">
        <w:rPr>
          <w:rFonts w:ascii="Times New Roman" w:hAnsi="Times New Roman" w:cs="Times New Roman"/>
        </w:rPr>
        <w:t>in Nigeria. </w:t>
      </w:r>
      <w:r w:rsidRPr="00482FCC">
        <w:rPr>
          <w:rFonts w:ascii="Times New Roman" w:hAnsi="Times New Roman" w:cs="Times New Roman"/>
          <w:i/>
          <w:iCs/>
        </w:rPr>
        <w:t>International Journal Administration, Business &amp; Organization</w:t>
      </w:r>
      <w:r w:rsidRPr="00482FCC">
        <w:rPr>
          <w:rFonts w:ascii="Times New Roman" w:hAnsi="Times New Roman" w:cs="Times New Roman"/>
        </w:rPr>
        <w:t>, </w:t>
      </w:r>
      <w:r w:rsidRPr="00482FCC">
        <w:rPr>
          <w:rFonts w:ascii="Times New Roman" w:hAnsi="Times New Roman" w:cs="Times New Roman"/>
          <w:i/>
          <w:iCs/>
        </w:rPr>
        <w:t>5</w:t>
      </w:r>
      <w:r w:rsidRPr="00482FCC">
        <w:rPr>
          <w:rFonts w:ascii="Times New Roman" w:hAnsi="Times New Roman" w:cs="Times New Roman"/>
        </w:rPr>
        <w:t>(3), 47-</w:t>
      </w:r>
      <w:r w:rsidR="00C24F68" w:rsidRPr="00482FCC">
        <w:rPr>
          <w:rFonts w:ascii="Times New Roman" w:hAnsi="Times New Roman" w:cs="Times New Roman"/>
        </w:rPr>
        <w:tab/>
      </w:r>
      <w:r w:rsidRPr="00482FCC">
        <w:rPr>
          <w:rFonts w:ascii="Times New Roman" w:hAnsi="Times New Roman" w:cs="Times New Roman"/>
        </w:rPr>
        <w:t>63.</w:t>
      </w:r>
    </w:p>
    <w:p w14:paraId="07EBDE8A" w14:textId="1EB4B45C"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Rampalli, K. K., Blake, C. E., Frongillo, E. A., &amp; Montoya, J. (2023). Why understanding food </w:t>
      </w:r>
      <w:r w:rsidR="00C24F68" w:rsidRPr="00482FCC">
        <w:rPr>
          <w:rFonts w:ascii="Times New Roman" w:hAnsi="Times New Roman" w:cs="Times New Roman"/>
        </w:rPr>
        <w:tab/>
      </w:r>
      <w:r w:rsidRPr="00482FCC">
        <w:rPr>
          <w:rFonts w:ascii="Times New Roman" w:hAnsi="Times New Roman" w:cs="Times New Roman"/>
        </w:rPr>
        <w:t>choice is crucial to transform food systems for human and planetary health. </w:t>
      </w:r>
      <w:r w:rsidRPr="00482FCC">
        <w:rPr>
          <w:rFonts w:ascii="Times New Roman" w:hAnsi="Times New Roman" w:cs="Times New Roman"/>
          <w:i/>
          <w:iCs/>
        </w:rPr>
        <w:t xml:space="preserve">BMJ Global </w:t>
      </w:r>
      <w:r w:rsidR="00C24F68" w:rsidRPr="00482FCC">
        <w:rPr>
          <w:rFonts w:ascii="Times New Roman" w:hAnsi="Times New Roman" w:cs="Times New Roman"/>
          <w:i/>
          <w:iCs/>
        </w:rPr>
        <w:tab/>
      </w:r>
      <w:r w:rsidRPr="00482FCC">
        <w:rPr>
          <w:rFonts w:ascii="Times New Roman" w:hAnsi="Times New Roman" w:cs="Times New Roman"/>
          <w:i/>
          <w:iCs/>
        </w:rPr>
        <w:t>Health</w:t>
      </w:r>
      <w:r w:rsidRPr="00482FCC">
        <w:rPr>
          <w:rFonts w:ascii="Times New Roman" w:hAnsi="Times New Roman" w:cs="Times New Roman"/>
        </w:rPr>
        <w:t>, </w:t>
      </w:r>
      <w:r w:rsidRPr="00482FCC">
        <w:rPr>
          <w:rFonts w:ascii="Times New Roman" w:hAnsi="Times New Roman" w:cs="Times New Roman"/>
          <w:i/>
          <w:iCs/>
        </w:rPr>
        <w:t>8</w:t>
      </w:r>
      <w:r w:rsidRPr="00482FCC">
        <w:rPr>
          <w:rFonts w:ascii="Times New Roman" w:hAnsi="Times New Roman" w:cs="Times New Roman"/>
        </w:rPr>
        <w:t>(5), e010876.</w:t>
      </w:r>
    </w:p>
    <w:p w14:paraId="7EC513F8" w14:textId="1B6B80C0"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Routray, S. (2022). Building </w:t>
      </w:r>
      <w:r w:rsidR="00EC4251" w:rsidRPr="00482FCC">
        <w:rPr>
          <w:rFonts w:ascii="Times New Roman" w:hAnsi="Times New Roman" w:cs="Times New Roman"/>
        </w:rPr>
        <w:t xml:space="preserve">sustainable businesses with the 3 r (reduce, reuse, recycle) </w:t>
      </w:r>
      <w:r w:rsidR="00EC4251" w:rsidRPr="00482FCC">
        <w:rPr>
          <w:rFonts w:ascii="Times New Roman" w:hAnsi="Times New Roman" w:cs="Times New Roman"/>
        </w:rPr>
        <w:tab/>
        <w:t>philosophy—emerging economic models in the solid waste management sector</w:t>
      </w:r>
      <w:r w:rsidRPr="00482FCC">
        <w:rPr>
          <w:rFonts w:ascii="Times New Roman" w:hAnsi="Times New Roman" w:cs="Times New Roman"/>
        </w:rPr>
        <w:t xml:space="preserve">. </w:t>
      </w:r>
      <w:r w:rsidR="00EC4251" w:rsidRPr="00482FCC">
        <w:rPr>
          <w:rFonts w:ascii="Times New Roman" w:hAnsi="Times New Roman" w:cs="Times New Roman"/>
        </w:rPr>
        <w:tab/>
      </w:r>
      <w:r w:rsidRPr="00482FCC">
        <w:rPr>
          <w:rFonts w:ascii="Times New Roman" w:hAnsi="Times New Roman" w:cs="Times New Roman"/>
        </w:rPr>
        <w:t>In </w:t>
      </w:r>
      <w:r w:rsidRPr="00482FCC">
        <w:rPr>
          <w:rFonts w:ascii="Times New Roman" w:hAnsi="Times New Roman" w:cs="Times New Roman"/>
          <w:i/>
          <w:iCs/>
        </w:rPr>
        <w:t>Emerging Economic Models for Sustainable Businesses: A Practical Approach</w:t>
      </w:r>
      <w:r w:rsidRPr="00482FCC">
        <w:rPr>
          <w:rFonts w:ascii="Times New Roman" w:hAnsi="Times New Roman" w:cs="Times New Roman"/>
        </w:rPr>
        <w:t xml:space="preserve"> (pp. </w:t>
      </w:r>
      <w:r w:rsidR="00EC4251" w:rsidRPr="00482FCC">
        <w:rPr>
          <w:rFonts w:ascii="Times New Roman" w:hAnsi="Times New Roman" w:cs="Times New Roman"/>
        </w:rPr>
        <w:tab/>
      </w:r>
      <w:r w:rsidRPr="00482FCC">
        <w:rPr>
          <w:rFonts w:ascii="Times New Roman" w:hAnsi="Times New Roman" w:cs="Times New Roman"/>
        </w:rPr>
        <w:t>83-97). Singapore: Springer Nature Singapore.</w:t>
      </w:r>
    </w:p>
    <w:p w14:paraId="699C0801" w14:textId="40F7F259"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Shaikh, V. A., &amp; Shaikh, I. V. (2024). Polysaccharides: Sustainable </w:t>
      </w:r>
      <w:r w:rsidR="00EC4251" w:rsidRPr="00482FCC">
        <w:rPr>
          <w:rFonts w:ascii="Times New Roman" w:hAnsi="Times New Roman" w:cs="Times New Roman"/>
        </w:rPr>
        <w:t xml:space="preserve">green-composite </w:t>
      </w:r>
      <w:r w:rsidR="00EC4251" w:rsidRPr="00482FCC">
        <w:rPr>
          <w:rFonts w:ascii="Times New Roman" w:hAnsi="Times New Roman" w:cs="Times New Roman"/>
        </w:rPr>
        <w:tab/>
        <w:t>biomateri</w:t>
      </w:r>
      <w:r w:rsidRPr="00482FCC">
        <w:rPr>
          <w:rFonts w:ascii="Times New Roman" w:hAnsi="Times New Roman" w:cs="Times New Roman"/>
        </w:rPr>
        <w:t>als. In </w:t>
      </w:r>
      <w:r w:rsidRPr="00482FCC">
        <w:rPr>
          <w:rFonts w:ascii="Times New Roman" w:hAnsi="Times New Roman" w:cs="Times New Roman"/>
          <w:i/>
          <w:iCs/>
        </w:rPr>
        <w:t>Encyclopedia of Green Materials</w:t>
      </w:r>
      <w:r w:rsidRPr="00482FCC">
        <w:rPr>
          <w:rFonts w:ascii="Times New Roman" w:hAnsi="Times New Roman" w:cs="Times New Roman"/>
        </w:rPr>
        <w:t xml:space="preserve"> (pp. 1615-1626). Singapore: </w:t>
      </w:r>
      <w:r w:rsidR="00EC4251" w:rsidRPr="00482FCC">
        <w:rPr>
          <w:rFonts w:ascii="Times New Roman" w:hAnsi="Times New Roman" w:cs="Times New Roman"/>
        </w:rPr>
        <w:tab/>
      </w:r>
      <w:r w:rsidRPr="00482FCC">
        <w:rPr>
          <w:rFonts w:ascii="Times New Roman" w:hAnsi="Times New Roman" w:cs="Times New Roman"/>
        </w:rPr>
        <w:t>Springer Nature Singapore.</w:t>
      </w:r>
    </w:p>
    <w:p w14:paraId="21EBF265" w14:textId="181A4192"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lastRenderedPageBreak/>
        <w:t xml:space="preserve">Shimul, A. S., &amp; Cheah, I. (2023). Consumers' preference for eco-friendly packaged products: </w:t>
      </w:r>
      <w:r w:rsidR="00EC4251" w:rsidRPr="00482FCC">
        <w:rPr>
          <w:rFonts w:ascii="Times New Roman" w:hAnsi="Times New Roman" w:cs="Times New Roman"/>
        </w:rPr>
        <w:tab/>
      </w:r>
      <w:r w:rsidR="00A503EF" w:rsidRPr="00482FCC">
        <w:rPr>
          <w:rFonts w:ascii="Times New Roman" w:hAnsi="Times New Roman" w:cs="Times New Roman"/>
        </w:rPr>
        <w:t>P</w:t>
      </w:r>
      <w:r w:rsidRPr="00482FCC">
        <w:rPr>
          <w:rFonts w:ascii="Times New Roman" w:hAnsi="Times New Roman" w:cs="Times New Roman"/>
        </w:rPr>
        <w:t>ride vs guilt appeal. </w:t>
      </w:r>
      <w:r w:rsidRPr="00482FCC">
        <w:rPr>
          <w:rFonts w:ascii="Times New Roman" w:hAnsi="Times New Roman" w:cs="Times New Roman"/>
          <w:i/>
          <w:iCs/>
        </w:rPr>
        <w:t>Marketing Intelligence &amp; Planning</w:t>
      </w:r>
      <w:r w:rsidRPr="00482FCC">
        <w:rPr>
          <w:rFonts w:ascii="Times New Roman" w:hAnsi="Times New Roman" w:cs="Times New Roman"/>
        </w:rPr>
        <w:t>, </w:t>
      </w:r>
      <w:r w:rsidRPr="00482FCC">
        <w:rPr>
          <w:rFonts w:ascii="Times New Roman" w:hAnsi="Times New Roman" w:cs="Times New Roman"/>
          <w:i/>
          <w:iCs/>
        </w:rPr>
        <w:t>41</w:t>
      </w:r>
      <w:r w:rsidRPr="00482FCC">
        <w:rPr>
          <w:rFonts w:ascii="Times New Roman" w:hAnsi="Times New Roman" w:cs="Times New Roman"/>
        </w:rPr>
        <w:t>(2), 186-198.</w:t>
      </w:r>
    </w:p>
    <w:p w14:paraId="73BED2F9" w14:textId="2B8575FA"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Simmonds, G., &amp; Spence, C. (2017). Thinking inside the box: How seeing products on, or </w:t>
      </w:r>
      <w:r w:rsidR="00EC4251" w:rsidRPr="00482FCC">
        <w:rPr>
          <w:rFonts w:ascii="Times New Roman" w:hAnsi="Times New Roman" w:cs="Times New Roman"/>
        </w:rPr>
        <w:tab/>
      </w:r>
      <w:r w:rsidRPr="00482FCC">
        <w:rPr>
          <w:rFonts w:ascii="Times New Roman" w:hAnsi="Times New Roman" w:cs="Times New Roman"/>
        </w:rPr>
        <w:t>through, the packaging influences consumer perceptions and purchase behaviour. </w:t>
      </w:r>
      <w:r w:rsidRPr="00482FCC">
        <w:rPr>
          <w:rFonts w:ascii="Times New Roman" w:hAnsi="Times New Roman" w:cs="Times New Roman"/>
          <w:i/>
          <w:iCs/>
        </w:rPr>
        <w:t xml:space="preserve">Food </w:t>
      </w:r>
      <w:r w:rsidR="00EC4251" w:rsidRPr="00482FCC">
        <w:rPr>
          <w:rFonts w:ascii="Times New Roman" w:hAnsi="Times New Roman" w:cs="Times New Roman"/>
          <w:i/>
          <w:iCs/>
        </w:rPr>
        <w:tab/>
      </w:r>
      <w:r w:rsidRPr="00482FCC">
        <w:rPr>
          <w:rFonts w:ascii="Times New Roman" w:hAnsi="Times New Roman" w:cs="Times New Roman"/>
          <w:i/>
          <w:iCs/>
        </w:rPr>
        <w:t>Quality and Preference</w:t>
      </w:r>
      <w:r w:rsidRPr="00482FCC">
        <w:rPr>
          <w:rFonts w:ascii="Times New Roman" w:hAnsi="Times New Roman" w:cs="Times New Roman"/>
        </w:rPr>
        <w:t>, </w:t>
      </w:r>
      <w:r w:rsidRPr="00482FCC">
        <w:rPr>
          <w:rFonts w:ascii="Times New Roman" w:hAnsi="Times New Roman" w:cs="Times New Roman"/>
          <w:i/>
          <w:iCs/>
        </w:rPr>
        <w:t>62</w:t>
      </w:r>
      <w:r w:rsidRPr="00482FCC">
        <w:rPr>
          <w:rFonts w:ascii="Times New Roman" w:hAnsi="Times New Roman" w:cs="Times New Roman"/>
        </w:rPr>
        <w:t>, 340-351.</w:t>
      </w:r>
    </w:p>
    <w:p w14:paraId="7AB082D4" w14:textId="16930B8F"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Suphaskuldamrong, W., Gan, C., &amp; Cohen, D. A. (2021, May). Consumers’ risk perceptions, </w:t>
      </w:r>
      <w:r w:rsidR="00EC4251" w:rsidRPr="00482FCC">
        <w:rPr>
          <w:rFonts w:ascii="Times New Roman" w:hAnsi="Times New Roman" w:cs="Times New Roman"/>
        </w:rPr>
        <w:tab/>
      </w:r>
      <w:r w:rsidRPr="00482FCC">
        <w:rPr>
          <w:rFonts w:ascii="Times New Roman" w:hAnsi="Times New Roman" w:cs="Times New Roman"/>
        </w:rPr>
        <w:t xml:space="preserve">risk reduction strategies and willingness to pay premium prices for organic products. </w:t>
      </w:r>
      <w:r w:rsidR="00EC4251" w:rsidRPr="00482FCC">
        <w:rPr>
          <w:rFonts w:ascii="Times New Roman" w:hAnsi="Times New Roman" w:cs="Times New Roman"/>
        </w:rPr>
        <w:tab/>
      </w:r>
      <w:r w:rsidRPr="00482FCC">
        <w:rPr>
          <w:rFonts w:ascii="Times New Roman" w:hAnsi="Times New Roman" w:cs="Times New Roman"/>
        </w:rPr>
        <w:t>In </w:t>
      </w:r>
      <w:r w:rsidRPr="00482FCC">
        <w:rPr>
          <w:rFonts w:ascii="Times New Roman" w:hAnsi="Times New Roman" w:cs="Times New Roman"/>
          <w:i/>
          <w:iCs/>
        </w:rPr>
        <w:t>2021 6th International Conference on Business and Industrial Research (ICBIR)</w:t>
      </w:r>
      <w:r w:rsidRPr="00482FCC">
        <w:rPr>
          <w:rFonts w:ascii="Times New Roman" w:hAnsi="Times New Roman" w:cs="Times New Roman"/>
        </w:rPr>
        <w:t xml:space="preserve"> (pp. </w:t>
      </w:r>
      <w:r w:rsidR="00EC4251" w:rsidRPr="00482FCC">
        <w:rPr>
          <w:rFonts w:ascii="Times New Roman" w:hAnsi="Times New Roman" w:cs="Times New Roman"/>
        </w:rPr>
        <w:tab/>
      </w:r>
      <w:r w:rsidRPr="00482FCC">
        <w:rPr>
          <w:rFonts w:ascii="Times New Roman" w:hAnsi="Times New Roman" w:cs="Times New Roman"/>
        </w:rPr>
        <w:t>31-36). IEEE.</w:t>
      </w:r>
    </w:p>
    <w:p w14:paraId="60980044" w14:textId="0620FA15"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Tan, Q., Yang, L., Wei, F., Chen, Y., &amp; Li, J. (2023). Is reusable packaging an environmentally </w:t>
      </w:r>
      <w:r w:rsidR="00EC4251" w:rsidRPr="00482FCC">
        <w:rPr>
          <w:rFonts w:ascii="Times New Roman" w:hAnsi="Times New Roman" w:cs="Times New Roman"/>
        </w:rPr>
        <w:tab/>
      </w:r>
      <w:r w:rsidRPr="00482FCC">
        <w:rPr>
          <w:rFonts w:ascii="Times New Roman" w:hAnsi="Times New Roman" w:cs="Times New Roman"/>
        </w:rPr>
        <w:t xml:space="preserve">friendly alternative to the single-use plastic bag? A case study of express delivery </w:t>
      </w:r>
      <w:r w:rsidR="00EC4251" w:rsidRPr="00482FCC">
        <w:rPr>
          <w:rFonts w:ascii="Times New Roman" w:hAnsi="Times New Roman" w:cs="Times New Roman"/>
        </w:rPr>
        <w:tab/>
      </w:r>
      <w:r w:rsidRPr="00482FCC">
        <w:rPr>
          <w:rFonts w:ascii="Times New Roman" w:hAnsi="Times New Roman" w:cs="Times New Roman"/>
        </w:rPr>
        <w:t>packaging in China. </w:t>
      </w:r>
      <w:r w:rsidRPr="00482FCC">
        <w:rPr>
          <w:rFonts w:ascii="Times New Roman" w:hAnsi="Times New Roman" w:cs="Times New Roman"/>
          <w:i/>
          <w:iCs/>
        </w:rPr>
        <w:t>Resources, Conservation and Recycling</w:t>
      </w:r>
      <w:r w:rsidRPr="00482FCC">
        <w:rPr>
          <w:rFonts w:ascii="Times New Roman" w:hAnsi="Times New Roman" w:cs="Times New Roman"/>
        </w:rPr>
        <w:t>, </w:t>
      </w:r>
      <w:r w:rsidRPr="00482FCC">
        <w:rPr>
          <w:rFonts w:ascii="Times New Roman" w:hAnsi="Times New Roman" w:cs="Times New Roman"/>
          <w:i/>
          <w:iCs/>
        </w:rPr>
        <w:t>190</w:t>
      </w:r>
      <w:r w:rsidRPr="00482FCC">
        <w:rPr>
          <w:rFonts w:ascii="Times New Roman" w:hAnsi="Times New Roman" w:cs="Times New Roman"/>
        </w:rPr>
        <w:t>, 106863.</w:t>
      </w:r>
    </w:p>
    <w:p w14:paraId="424F1748" w14:textId="7B7FF64F"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Tana, G., &amp; Chai, J. (2023). Digital transformation: </w:t>
      </w:r>
      <w:r w:rsidR="003571DE" w:rsidRPr="00482FCC">
        <w:rPr>
          <w:rFonts w:ascii="Times New Roman" w:hAnsi="Times New Roman" w:cs="Times New Roman"/>
        </w:rPr>
        <w:t>M</w:t>
      </w:r>
      <w:r w:rsidRPr="00482FCC">
        <w:rPr>
          <w:rFonts w:ascii="Times New Roman" w:hAnsi="Times New Roman" w:cs="Times New Roman"/>
        </w:rPr>
        <w:t xml:space="preserve">oderating supply chain concentration and </w:t>
      </w:r>
      <w:r w:rsidR="00EC4251" w:rsidRPr="00482FCC">
        <w:rPr>
          <w:rFonts w:ascii="Times New Roman" w:hAnsi="Times New Roman" w:cs="Times New Roman"/>
        </w:rPr>
        <w:tab/>
      </w:r>
      <w:r w:rsidRPr="00482FCC">
        <w:rPr>
          <w:rFonts w:ascii="Times New Roman" w:hAnsi="Times New Roman" w:cs="Times New Roman"/>
        </w:rPr>
        <w:t>competitive advantage in the service-oriented manufacturing industry. </w:t>
      </w:r>
      <w:r w:rsidRPr="00482FCC">
        <w:rPr>
          <w:rFonts w:ascii="Times New Roman" w:hAnsi="Times New Roman" w:cs="Times New Roman"/>
          <w:i/>
          <w:iCs/>
        </w:rPr>
        <w:t>Systems</w:t>
      </w:r>
      <w:r w:rsidRPr="00482FCC">
        <w:rPr>
          <w:rFonts w:ascii="Times New Roman" w:hAnsi="Times New Roman" w:cs="Times New Roman"/>
        </w:rPr>
        <w:t>, </w:t>
      </w:r>
      <w:r w:rsidRPr="00482FCC">
        <w:rPr>
          <w:rFonts w:ascii="Times New Roman" w:hAnsi="Times New Roman" w:cs="Times New Roman"/>
          <w:i/>
          <w:iCs/>
        </w:rPr>
        <w:t>11</w:t>
      </w:r>
      <w:r w:rsidRPr="00482FCC">
        <w:rPr>
          <w:rFonts w:ascii="Times New Roman" w:hAnsi="Times New Roman" w:cs="Times New Roman"/>
        </w:rPr>
        <w:t xml:space="preserve">(10), </w:t>
      </w:r>
      <w:r w:rsidR="00EC4251" w:rsidRPr="00482FCC">
        <w:rPr>
          <w:rFonts w:ascii="Times New Roman" w:hAnsi="Times New Roman" w:cs="Times New Roman"/>
        </w:rPr>
        <w:tab/>
      </w:r>
      <w:r w:rsidRPr="00482FCC">
        <w:rPr>
          <w:rFonts w:ascii="Times New Roman" w:hAnsi="Times New Roman" w:cs="Times New Roman"/>
        </w:rPr>
        <w:t>486.</w:t>
      </w:r>
    </w:p>
    <w:p w14:paraId="6F3CF22E" w14:textId="2A022414"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Tanzares, J., Rahmiati, F., Jokhu, J. R., &amp; Mangkurat, R. S. B. (2024). The impact of </w:t>
      </w:r>
      <w:r w:rsidR="00194B09" w:rsidRPr="00482FCC">
        <w:rPr>
          <w:rFonts w:ascii="Times New Roman" w:hAnsi="Times New Roman" w:cs="Times New Roman"/>
        </w:rPr>
        <w:tab/>
      </w:r>
      <w:r w:rsidRPr="00482FCC">
        <w:rPr>
          <w:rFonts w:ascii="Times New Roman" w:hAnsi="Times New Roman" w:cs="Times New Roman"/>
        </w:rPr>
        <w:t>willingness to pay, environmental awareness, consumer behavio</w:t>
      </w:r>
      <w:r w:rsidR="000B0C2D" w:rsidRPr="00482FCC">
        <w:rPr>
          <w:rFonts w:ascii="Times New Roman" w:hAnsi="Times New Roman" w:cs="Times New Roman"/>
        </w:rPr>
        <w:t>u</w:t>
      </w:r>
      <w:r w:rsidRPr="00482FCC">
        <w:rPr>
          <w:rFonts w:ascii="Times New Roman" w:hAnsi="Times New Roman" w:cs="Times New Roman"/>
        </w:rPr>
        <w:t xml:space="preserve">r, consumer attitudes </w:t>
      </w:r>
      <w:r w:rsidR="00194B09" w:rsidRPr="00482FCC">
        <w:rPr>
          <w:rFonts w:ascii="Times New Roman" w:hAnsi="Times New Roman" w:cs="Times New Roman"/>
        </w:rPr>
        <w:tab/>
      </w:r>
      <w:r w:rsidRPr="00482FCC">
        <w:rPr>
          <w:rFonts w:ascii="Times New Roman" w:hAnsi="Times New Roman" w:cs="Times New Roman"/>
        </w:rPr>
        <w:t>toward purchase decisions on sustainable packaging in Indonesia. </w:t>
      </w:r>
      <w:r w:rsidRPr="00482FCC">
        <w:rPr>
          <w:rFonts w:ascii="Times New Roman" w:hAnsi="Times New Roman" w:cs="Times New Roman"/>
          <w:i/>
          <w:iCs/>
        </w:rPr>
        <w:t xml:space="preserve">Journal of Character </w:t>
      </w:r>
      <w:r w:rsidR="00194B09" w:rsidRPr="00482FCC">
        <w:rPr>
          <w:rFonts w:ascii="Times New Roman" w:hAnsi="Times New Roman" w:cs="Times New Roman"/>
          <w:i/>
          <w:iCs/>
        </w:rPr>
        <w:tab/>
      </w:r>
      <w:r w:rsidRPr="00482FCC">
        <w:rPr>
          <w:rFonts w:ascii="Times New Roman" w:hAnsi="Times New Roman" w:cs="Times New Roman"/>
          <w:i/>
          <w:iCs/>
        </w:rPr>
        <w:t>and Environment</w:t>
      </w:r>
      <w:r w:rsidRPr="00482FCC">
        <w:rPr>
          <w:rFonts w:ascii="Times New Roman" w:hAnsi="Times New Roman" w:cs="Times New Roman"/>
        </w:rPr>
        <w:t>, </w:t>
      </w:r>
      <w:r w:rsidRPr="00482FCC">
        <w:rPr>
          <w:rFonts w:ascii="Times New Roman" w:hAnsi="Times New Roman" w:cs="Times New Roman"/>
          <w:i/>
          <w:iCs/>
        </w:rPr>
        <w:t>2</w:t>
      </w:r>
      <w:r w:rsidRPr="00482FCC">
        <w:rPr>
          <w:rFonts w:ascii="Times New Roman" w:hAnsi="Times New Roman" w:cs="Times New Roman"/>
        </w:rPr>
        <w:t>(1), 15-35.</w:t>
      </w:r>
    </w:p>
    <w:p w14:paraId="1023C46D" w14:textId="4C9E9283"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Testa, F., Pretner, G., Iovino, R., Bianchi, G., Tessitore, S., &amp; Iraldo, F. (2021). Drivers to green </w:t>
      </w:r>
      <w:r w:rsidR="00194B09" w:rsidRPr="00482FCC">
        <w:rPr>
          <w:rFonts w:ascii="Times New Roman" w:hAnsi="Times New Roman" w:cs="Times New Roman"/>
        </w:rPr>
        <w:tab/>
      </w:r>
      <w:r w:rsidRPr="00482FCC">
        <w:rPr>
          <w:rFonts w:ascii="Times New Roman" w:hAnsi="Times New Roman" w:cs="Times New Roman"/>
        </w:rPr>
        <w:t>consumption: A systematic review. </w:t>
      </w:r>
      <w:r w:rsidRPr="00482FCC">
        <w:rPr>
          <w:rFonts w:ascii="Times New Roman" w:hAnsi="Times New Roman" w:cs="Times New Roman"/>
          <w:i/>
          <w:iCs/>
        </w:rPr>
        <w:t>Environment, development and sustainability</w:t>
      </w:r>
      <w:r w:rsidRPr="00482FCC">
        <w:rPr>
          <w:rFonts w:ascii="Times New Roman" w:hAnsi="Times New Roman" w:cs="Times New Roman"/>
        </w:rPr>
        <w:t>, </w:t>
      </w:r>
      <w:r w:rsidRPr="00482FCC">
        <w:rPr>
          <w:rFonts w:ascii="Times New Roman" w:hAnsi="Times New Roman" w:cs="Times New Roman"/>
          <w:i/>
          <w:iCs/>
        </w:rPr>
        <w:t>23</w:t>
      </w:r>
      <w:r w:rsidRPr="00482FCC">
        <w:rPr>
          <w:rFonts w:ascii="Times New Roman" w:hAnsi="Times New Roman" w:cs="Times New Roman"/>
        </w:rPr>
        <w:t xml:space="preserve">, </w:t>
      </w:r>
      <w:r w:rsidR="00194B09" w:rsidRPr="00482FCC">
        <w:rPr>
          <w:rFonts w:ascii="Times New Roman" w:hAnsi="Times New Roman" w:cs="Times New Roman"/>
        </w:rPr>
        <w:tab/>
      </w:r>
      <w:r w:rsidRPr="00482FCC">
        <w:rPr>
          <w:rFonts w:ascii="Times New Roman" w:hAnsi="Times New Roman" w:cs="Times New Roman"/>
        </w:rPr>
        <w:t>4826-4880.</w:t>
      </w:r>
    </w:p>
    <w:p w14:paraId="47334ADC" w14:textId="36E29E11" w:rsidR="00647DAB" w:rsidRPr="00482FCC" w:rsidRDefault="00647DAB" w:rsidP="003661BB">
      <w:pPr>
        <w:spacing w:line="360" w:lineRule="auto"/>
        <w:jc w:val="both"/>
        <w:rPr>
          <w:rFonts w:ascii="Times New Roman" w:hAnsi="Times New Roman" w:cs="Times New Roman"/>
        </w:rPr>
      </w:pPr>
      <w:r w:rsidRPr="00482FCC">
        <w:rPr>
          <w:rFonts w:ascii="Times New Roman" w:hAnsi="Times New Roman" w:cs="Times New Roman"/>
        </w:rPr>
        <w:t xml:space="preserve">Versino, F., Ortega, F., Monroy, Y., Rivero, S., López, O. V., &amp; García, M. A. (2023). </w:t>
      </w:r>
      <w:r w:rsidR="00E43387" w:rsidRPr="00482FCC">
        <w:rPr>
          <w:rFonts w:ascii="Times New Roman" w:hAnsi="Times New Roman" w:cs="Times New Roman"/>
        </w:rPr>
        <w:tab/>
      </w:r>
      <w:r w:rsidRPr="00482FCC">
        <w:rPr>
          <w:rFonts w:ascii="Times New Roman" w:hAnsi="Times New Roman" w:cs="Times New Roman"/>
        </w:rPr>
        <w:t xml:space="preserve">Sustainable and bio-based food packaging: A review on past and current design </w:t>
      </w:r>
      <w:r w:rsidR="00E43387" w:rsidRPr="00482FCC">
        <w:rPr>
          <w:rFonts w:ascii="Times New Roman" w:hAnsi="Times New Roman" w:cs="Times New Roman"/>
        </w:rPr>
        <w:tab/>
      </w:r>
      <w:r w:rsidRPr="00482FCC">
        <w:rPr>
          <w:rFonts w:ascii="Times New Roman" w:hAnsi="Times New Roman" w:cs="Times New Roman"/>
        </w:rPr>
        <w:t>innovations. </w:t>
      </w:r>
      <w:r w:rsidRPr="00482FCC">
        <w:rPr>
          <w:rFonts w:ascii="Times New Roman" w:hAnsi="Times New Roman" w:cs="Times New Roman"/>
          <w:i/>
          <w:iCs/>
        </w:rPr>
        <w:t>Foods</w:t>
      </w:r>
      <w:r w:rsidRPr="00482FCC">
        <w:rPr>
          <w:rFonts w:ascii="Times New Roman" w:hAnsi="Times New Roman" w:cs="Times New Roman"/>
        </w:rPr>
        <w:t>, </w:t>
      </w:r>
      <w:r w:rsidRPr="00482FCC">
        <w:rPr>
          <w:rFonts w:ascii="Times New Roman" w:hAnsi="Times New Roman" w:cs="Times New Roman"/>
          <w:i/>
          <w:iCs/>
        </w:rPr>
        <w:t>12</w:t>
      </w:r>
      <w:r w:rsidRPr="00482FCC">
        <w:rPr>
          <w:rFonts w:ascii="Times New Roman" w:hAnsi="Times New Roman" w:cs="Times New Roman"/>
        </w:rPr>
        <w:t>(5), 1057.</w:t>
      </w:r>
    </w:p>
    <w:sectPr w:rsidR="00647DAB" w:rsidRPr="00482FC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F764F"/>
    <w:multiLevelType w:val="multilevel"/>
    <w:tmpl w:val="F92EF6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1D1C30"/>
    <w:multiLevelType w:val="multilevel"/>
    <w:tmpl w:val="4D901E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3F796C"/>
    <w:multiLevelType w:val="multilevel"/>
    <w:tmpl w:val="D7AA2F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253D6A"/>
    <w:multiLevelType w:val="multilevel"/>
    <w:tmpl w:val="7D7C83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803327"/>
    <w:multiLevelType w:val="hybridMultilevel"/>
    <w:tmpl w:val="8C5E8EC6"/>
    <w:lvl w:ilvl="0" w:tplc="0809001B">
      <w:start w:val="1"/>
      <w:numFmt w:val="lowerRoman"/>
      <w:lvlText w:val="%1."/>
      <w:lvlJc w:val="righ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5" w15:restartNumberingAfterBreak="0">
    <w:nsid w:val="0E1865C1"/>
    <w:multiLevelType w:val="multilevel"/>
    <w:tmpl w:val="E9669F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E6A343D"/>
    <w:multiLevelType w:val="multilevel"/>
    <w:tmpl w:val="80107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3AB2CE9"/>
    <w:multiLevelType w:val="multilevel"/>
    <w:tmpl w:val="3E021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8193AE0"/>
    <w:multiLevelType w:val="multilevel"/>
    <w:tmpl w:val="C5666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CFA4C20"/>
    <w:multiLevelType w:val="multilevel"/>
    <w:tmpl w:val="63B0C3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61E78B3"/>
    <w:multiLevelType w:val="hybridMultilevel"/>
    <w:tmpl w:val="6414BE7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B423486"/>
    <w:multiLevelType w:val="hybridMultilevel"/>
    <w:tmpl w:val="8FEE172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39C2A7D"/>
    <w:multiLevelType w:val="multilevel"/>
    <w:tmpl w:val="758CF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7DE7E48"/>
    <w:multiLevelType w:val="multilevel"/>
    <w:tmpl w:val="A70C2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6614588"/>
    <w:multiLevelType w:val="multilevel"/>
    <w:tmpl w:val="82F46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7177D57"/>
    <w:multiLevelType w:val="multilevel"/>
    <w:tmpl w:val="90ACA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8E416A1"/>
    <w:multiLevelType w:val="multilevel"/>
    <w:tmpl w:val="CC16E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DC1554"/>
    <w:multiLevelType w:val="multilevel"/>
    <w:tmpl w:val="DC0A10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41902E4"/>
    <w:multiLevelType w:val="hybridMultilevel"/>
    <w:tmpl w:val="211C7620"/>
    <w:lvl w:ilvl="0" w:tplc="E0AA716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4691361"/>
    <w:multiLevelType w:val="multilevel"/>
    <w:tmpl w:val="425084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0572C40"/>
    <w:multiLevelType w:val="multilevel"/>
    <w:tmpl w:val="82DA59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D896693"/>
    <w:multiLevelType w:val="multilevel"/>
    <w:tmpl w:val="9FF4E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7792601"/>
    <w:multiLevelType w:val="multilevel"/>
    <w:tmpl w:val="4080CB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AF6075A"/>
    <w:multiLevelType w:val="multilevel"/>
    <w:tmpl w:val="770C6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F1C2B29"/>
    <w:multiLevelType w:val="multilevel"/>
    <w:tmpl w:val="0270F2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67665262">
    <w:abstractNumId w:val="10"/>
  </w:num>
  <w:num w:numId="2" w16cid:durableId="154880198">
    <w:abstractNumId w:val="16"/>
  </w:num>
  <w:num w:numId="3" w16cid:durableId="195433081">
    <w:abstractNumId w:val="1"/>
  </w:num>
  <w:num w:numId="4" w16cid:durableId="518930713">
    <w:abstractNumId w:val="19"/>
  </w:num>
  <w:num w:numId="5" w16cid:durableId="623316015">
    <w:abstractNumId w:val="5"/>
  </w:num>
  <w:num w:numId="6" w16cid:durableId="181826404">
    <w:abstractNumId w:val="9"/>
  </w:num>
  <w:num w:numId="7" w16cid:durableId="1489785812">
    <w:abstractNumId w:val="3"/>
  </w:num>
  <w:num w:numId="8" w16cid:durableId="1249266162">
    <w:abstractNumId w:val="8"/>
  </w:num>
  <w:num w:numId="9" w16cid:durableId="560361556">
    <w:abstractNumId w:val="6"/>
  </w:num>
  <w:num w:numId="10" w16cid:durableId="421990674">
    <w:abstractNumId w:val="7"/>
  </w:num>
  <w:num w:numId="11" w16cid:durableId="1259480671">
    <w:abstractNumId w:val="2"/>
  </w:num>
  <w:num w:numId="12" w16cid:durableId="1204246741">
    <w:abstractNumId w:val="12"/>
  </w:num>
  <w:num w:numId="13" w16cid:durableId="1998804460">
    <w:abstractNumId w:val="21"/>
  </w:num>
  <w:num w:numId="14" w16cid:durableId="2129657999">
    <w:abstractNumId w:val="15"/>
  </w:num>
  <w:num w:numId="15" w16cid:durableId="72821683">
    <w:abstractNumId w:val="23"/>
  </w:num>
  <w:num w:numId="16" w16cid:durableId="1578586626">
    <w:abstractNumId w:val="14"/>
  </w:num>
  <w:num w:numId="17" w16cid:durableId="1179386988">
    <w:abstractNumId w:val="13"/>
  </w:num>
  <w:num w:numId="18" w16cid:durableId="1609383836">
    <w:abstractNumId w:val="20"/>
  </w:num>
  <w:num w:numId="19" w16cid:durableId="1598248948">
    <w:abstractNumId w:val="0"/>
  </w:num>
  <w:num w:numId="20" w16cid:durableId="774711218">
    <w:abstractNumId w:val="22"/>
  </w:num>
  <w:num w:numId="21" w16cid:durableId="1165392059">
    <w:abstractNumId w:val="17"/>
  </w:num>
  <w:num w:numId="22" w16cid:durableId="1999921507">
    <w:abstractNumId w:val="24"/>
  </w:num>
  <w:num w:numId="23" w16cid:durableId="1735199908">
    <w:abstractNumId w:val="11"/>
  </w:num>
  <w:num w:numId="24" w16cid:durableId="798956227">
    <w:abstractNumId w:val="18"/>
  </w:num>
  <w:num w:numId="25" w16cid:durableId="119557579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043D"/>
    <w:rsid w:val="000032D6"/>
    <w:rsid w:val="00004191"/>
    <w:rsid w:val="00006437"/>
    <w:rsid w:val="00017CA8"/>
    <w:rsid w:val="0002002B"/>
    <w:rsid w:val="00021EAF"/>
    <w:rsid w:val="00024AA9"/>
    <w:rsid w:val="00032D99"/>
    <w:rsid w:val="00033E04"/>
    <w:rsid w:val="00037122"/>
    <w:rsid w:val="00050CDE"/>
    <w:rsid w:val="00050CF9"/>
    <w:rsid w:val="0005211B"/>
    <w:rsid w:val="00054BCD"/>
    <w:rsid w:val="00062B30"/>
    <w:rsid w:val="000705C3"/>
    <w:rsid w:val="000804FD"/>
    <w:rsid w:val="00083B81"/>
    <w:rsid w:val="000A4190"/>
    <w:rsid w:val="000B0C2D"/>
    <w:rsid w:val="000B2190"/>
    <w:rsid w:val="000C10FC"/>
    <w:rsid w:val="000C4687"/>
    <w:rsid w:val="000C5991"/>
    <w:rsid w:val="000D20C2"/>
    <w:rsid w:val="000E3104"/>
    <w:rsid w:val="000F1F2E"/>
    <w:rsid w:val="001001C8"/>
    <w:rsid w:val="00100BA5"/>
    <w:rsid w:val="00112506"/>
    <w:rsid w:val="001358EC"/>
    <w:rsid w:val="00144587"/>
    <w:rsid w:val="0014686B"/>
    <w:rsid w:val="001528E2"/>
    <w:rsid w:val="00153180"/>
    <w:rsid w:val="0016235B"/>
    <w:rsid w:val="00172DB1"/>
    <w:rsid w:val="00176723"/>
    <w:rsid w:val="001858AA"/>
    <w:rsid w:val="0019049C"/>
    <w:rsid w:val="00190F8A"/>
    <w:rsid w:val="00191616"/>
    <w:rsid w:val="00194B09"/>
    <w:rsid w:val="001B0DE2"/>
    <w:rsid w:val="001C5F2D"/>
    <w:rsid w:val="001D128A"/>
    <w:rsid w:val="001D23AE"/>
    <w:rsid w:val="001E440A"/>
    <w:rsid w:val="001E6268"/>
    <w:rsid w:val="001E63B2"/>
    <w:rsid w:val="001F5058"/>
    <w:rsid w:val="001F64D8"/>
    <w:rsid w:val="001F79E2"/>
    <w:rsid w:val="0020043D"/>
    <w:rsid w:val="00202C3B"/>
    <w:rsid w:val="00211D43"/>
    <w:rsid w:val="00234AF6"/>
    <w:rsid w:val="00255E81"/>
    <w:rsid w:val="00262942"/>
    <w:rsid w:val="00264146"/>
    <w:rsid w:val="00274416"/>
    <w:rsid w:val="00274F3E"/>
    <w:rsid w:val="0027741C"/>
    <w:rsid w:val="002809C4"/>
    <w:rsid w:val="00281D45"/>
    <w:rsid w:val="00284547"/>
    <w:rsid w:val="00286730"/>
    <w:rsid w:val="002B2CC9"/>
    <w:rsid w:val="002B61A6"/>
    <w:rsid w:val="002C25CE"/>
    <w:rsid w:val="002D2C7A"/>
    <w:rsid w:val="002D4BB5"/>
    <w:rsid w:val="002D7F7B"/>
    <w:rsid w:val="002E6B70"/>
    <w:rsid w:val="002F49D2"/>
    <w:rsid w:val="003028AC"/>
    <w:rsid w:val="003067AB"/>
    <w:rsid w:val="0031760E"/>
    <w:rsid w:val="00324B0B"/>
    <w:rsid w:val="00334658"/>
    <w:rsid w:val="00334E50"/>
    <w:rsid w:val="0034208A"/>
    <w:rsid w:val="003442DC"/>
    <w:rsid w:val="0035149A"/>
    <w:rsid w:val="003571DE"/>
    <w:rsid w:val="003636EA"/>
    <w:rsid w:val="0036437A"/>
    <w:rsid w:val="003661BB"/>
    <w:rsid w:val="00377444"/>
    <w:rsid w:val="0038411C"/>
    <w:rsid w:val="003846AA"/>
    <w:rsid w:val="00396A60"/>
    <w:rsid w:val="003A0028"/>
    <w:rsid w:val="003A1717"/>
    <w:rsid w:val="003B0F33"/>
    <w:rsid w:val="003B3686"/>
    <w:rsid w:val="003C29CB"/>
    <w:rsid w:val="003D1868"/>
    <w:rsid w:val="003F7955"/>
    <w:rsid w:val="0040692D"/>
    <w:rsid w:val="0041102F"/>
    <w:rsid w:val="0041531D"/>
    <w:rsid w:val="00420C79"/>
    <w:rsid w:val="004235EC"/>
    <w:rsid w:val="00445A20"/>
    <w:rsid w:val="004470CD"/>
    <w:rsid w:val="004513D7"/>
    <w:rsid w:val="00472684"/>
    <w:rsid w:val="0047496E"/>
    <w:rsid w:val="004764B7"/>
    <w:rsid w:val="004776CD"/>
    <w:rsid w:val="00482FCC"/>
    <w:rsid w:val="00495155"/>
    <w:rsid w:val="004A3B85"/>
    <w:rsid w:val="004C21F4"/>
    <w:rsid w:val="004E0BFD"/>
    <w:rsid w:val="004F2021"/>
    <w:rsid w:val="004F2886"/>
    <w:rsid w:val="004F71A8"/>
    <w:rsid w:val="00503561"/>
    <w:rsid w:val="00503F9A"/>
    <w:rsid w:val="00505FDA"/>
    <w:rsid w:val="00506F22"/>
    <w:rsid w:val="005106ED"/>
    <w:rsid w:val="005152A0"/>
    <w:rsid w:val="005237F3"/>
    <w:rsid w:val="00531BD5"/>
    <w:rsid w:val="00535B44"/>
    <w:rsid w:val="00550721"/>
    <w:rsid w:val="00560F9D"/>
    <w:rsid w:val="005613C2"/>
    <w:rsid w:val="00573162"/>
    <w:rsid w:val="00574B2B"/>
    <w:rsid w:val="00585EFB"/>
    <w:rsid w:val="00587C1C"/>
    <w:rsid w:val="00596130"/>
    <w:rsid w:val="00597DB7"/>
    <w:rsid w:val="005A7193"/>
    <w:rsid w:val="005B157E"/>
    <w:rsid w:val="005B2F72"/>
    <w:rsid w:val="005B2FBC"/>
    <w:rsid w:val="005C0446"/>
    <w:rsid w:val="005E0B5E"/>
    <w:rsid w:val="005E3399"/>
    <w:rsid w:val="005F02E9"/>
    <w:rsid w:val="005F4C20"/>
    <w:rsid w:val="00613BA9"/>
    <w:rsid w:val="00620CAF"/>
    <w:rsid w:val="00620D86"/>
    <w:rsid w:val="0063465E"/>
    <w:rsid w:val="00636426"/>
    <w:rsid w:val="00636F6F"/>
    <w:rsid w:val="00645D25"/>
    <w:rsid w:val="00647456"/>
    <w:rsid w:val="00647DAB"/>
    <w:rsid w:val="00651713"/>
    <w:rsid w:val="0066379B"/>
    <w:rsid w:val="00677A58"/>
    <w:rsid w:val="006868D3"/>
    <w:rsid w:val="006975DA"/>
    <w:rsid w:val="006A5CF2"/>
    <w:rsid w:val="006B02F1"/>
    <w:rsid w:val="006B2962"/>
    <w:rsid w:val="006B33A3"/>
    <w:rsid w:val="006C2362"/>
    <w:rsid w:val="006D1CEF"/>
    <w:rsid w:val="006D5E71"/>
    <w:rsid w:val="006E49F5"/>
    <w:rsid w:val="00700A19"/>
    <w:rsid w:val="00702945"/>
    <w:rsid w:val="00706E2A"/>
    <w:rsid w:val="007213BD"/>
    <w:rsid w:val="00722C6F"/>
    <w:rsid w:val="0073476D"/>
    <w:rsid w:val="00736BA3"/>
    <w:rsid w:val="00750C08"/>
    <w:rsid w:val="007537D3"/>
    <w:rsid w:val="00754009"/>
    <w:rsid w:val="00754424"/>
    <w:rsid w:val="00755838"/>
    <w:rsid w:val="00757226"/>
    <w:rsid w:val="00757BC6"/>
    <w:rsid w:val="00770BD5"/>
    <w:rsid w:val="00790863"/>
    <w:rsid w:val="007A6619"/>
    <w:rsid w:val="007A6B61"/>
    <w:rsid w:val="007A6DBD"/>
    <w:rsid w:val="007B328D"/>
    <w:rsid w:val="007B664D"/>
    <w:rsid w:val="007B6B5B"/>
    <w:rsid w:val="007C4E55"/>
    <w:rsid w:val="007D241C"/>
    <w:rsid w:val="007E0700"/>
    <w:rsid w:val="00804E0C"/>
    <w:rsid w:val="00810D59"/>
    <w:rsid w:val="00825AFB"/>
    <w:rsid w:val="00833660"/>
    <w:rsid w:val="00834809"/>
    <w:rsid w:val="00837FBA"/>
    <w:rsid w:val="00842841"/>
    <w:rsid w:val="00845F89"/>
    <w:rsid w:val="008627FE"/>
    <w:rsid w:val="00867BE5"/>
    <w:rsid w:val="00867C74"/>
    <w:rsid w:val="008811D0"/>
    <w:rsid w:val="00883174"/>
    <w:rsid w:val="00883D74"/>
    <w:rsid w:val="00891877"/>
    <w:rsid w:val="00896597"/>
    <w:rsid w:val="008A1476"/>
    <w:rsid w:val="008A2D85"/>
    <w:rsid w:val="008A6AEF"/>
    <w:rsid w:val="008B3142"/>
    <w:rsid w:val="008B4F76"/>
    <w:rsid w:val="008C29F5"/>
    <w:rsid w:val="008C3FC9"/>
    <w:rsid w:val="008C47CF"/>
    <w:rsid w:val="008C4CAD"/>
    <w:rsid w:val="008D37F7"/>
    <w:rsid w:val="008D6292"/>
    <w:rsid w:val="008E0BA9"/>
    <w:rsid w:val="008F04E6"/>
    <w:rsid w:val="008F268A"/>
    <w:rsid w:val="008F3597"/>
    <w:rsid w:val="008F6CA1"/>
    <w:rsid w:val="00903385"/>
    <w:rsid w:val="00907014"/>
    <w:rsid w:val="00912CCA"/>
    <w:rsid w:val="0091353C"/>
    <w:rsid w:val="00913FD2"/>
    <w:rsid w:val="0092162F"/>
    <w:rsid w:val="00923044"/>
    <w:rsid w:val="0092568C"/>
    <w:rsid w:val="00930D7F"/>
    <w:rsid w:val="00935C87"/>
    <w:rsid w:val="009378B8"/>
    <w:rsid w:val="00946A55"/>
    <w:rsid w:val="0096020E"/>
    <w:rsid w:val="0096270D"/>
    <w:rsid w:val="0097042C"/>
    <w:rsid w:val="0097391E"/>
    <w:rsid w:val="0097599A"/>
    <w:rsid w:val="00983FF8"/>
    <w:rsid w:val="00986F28"/>
    <w:rsid w:val="009910AB"/>
    <w:rsid w:val="009A1178"/>
    <w:rsid w:val="009A2029"/>
    <w:rsid w:val="009A4E32"/>
    <w:rsid w:val="009A7063"/>
    <w:rsid w:val="009B054C"/>
    <w:rsid w:val="009C6CC9"/>
    <w:rsid w:val="009D3F61"/>
    <w:rsid w:val="009D648C"/>
    <w:rsid w:val="009E24F7"/>
    <w:rsid w:val="009E279F"/>
    <w:rsid w:val="009F2C06"/>
    <w:rsid w:val="00A2188C"/>
    <w:rsid w:val="00A22B54"/>
    <w:rsid w:val="00A23852"/>
    <w:rsid w:val="00A34998"/>
    <w:rsid w:val="00A370B9"/>
    <w:rsid w:val="00A44A08"/>
    <w:rsid w:val="00A503EF"/>
    <w:rsid w:val="00A60BD8"/>
    <w:rsid w:val="00A71FDC"/>
    <w:rsid w:val="00A812A3"/>
    <w:rsid w:val="00A825CD"/>
    <w:rsid w:val="00A84248"/>
    <w:rsid w:val="00A948EF"/>
    <w:rsid w:val="00A95840"/>
    <w:rsid w:val="00AA68E8"/>
    <w:rsid w:val="00AB37FF"/>
    <w:rsid w:val="00AC584F"/>
    <w:rsid w:val="00AC74CB"/>
    <w:rsid w:val="00B014A8"/>
    <w:rsid w:val="00B04B29"/>
    <w:rsid w:val="00B10392"/>
    <w:rsid w:val="00B10DDF"/>
    <w:rsid w:val="00B15226"/>
    <w:rsid w:val="00B15981"/>
    <w:rsid w:val="00B300FA"/>
    <w:rsid w:val="00B32EB2"/>
    <w:rsid w:val="00B35854"/>
    <w:rsid w:val="00B407D4"/>
    <w:rsid w:val="00B525E6"/>
    <w:rsid w:val="00B57997"/>
    <w:rsid w:val="00B70BD2"/>
    <w:rsid w:val="00B83AE3"/>
    <w:rsid w:val="00B85C2F"/>
    <w:rsid w:val="00B93493"/>
    <w:rsid w:val="00B94A7C"/>
    <w:rsid w:val="00BA14D8"/>
    <w:rsid w:val="00BB0104"/>
    <w:rsid w:val="00BC545C"/>
    <w:rsid w:val="00BD3F5E"/>
    <w:rsid w:val="00BD709C"/>
    <w:rsid w:val="00BE0156"/>
    <w:rsid w:val="00BF2FFA"/>
    <w:rsid w:val="00BF63FB"/>
    <w:rsid w:val="00C02F9E"/>
    <w:rsid w:val="00C10638"/>
    <w:rsid w:val="00C24F68"/>
    <w:rsid w:val="00C30BDB"/>
    <w:rsid w:val="00C4093B"/>
    <w:rsid w:val="00C508D1"/>
    <w:rsid w:val="00C576BF"/>
    <w:rsid w:val="00C64D60"/>
    <w:rsid w:val="00C7207C"/>
    <w:rsid w:val="00C72633"/>
    <w:rsid w:val="00C749F4"/>
    <w:rsid w:val="00C8004C"/>
    <w:rsid w:val="00C8664D"/>
    <w:rsid w:val="00C919B8"/>
    <w:rsid w:val="00C927AF"/>
    <w:rsid w:val="00C9384D"/>
    <w:rsid w:val="00CA043C"/>
    <w:rsid w:val="00CA5008"/>
    <w:rsid w:val="00CE19A8"/>
    <w:rsid w:val="00CF1733"/>
    <w:rsid w:val="00D061F5"/>
    <w:rsid w:val="00D12A4B"/>
    <w:rsid w:val="00D152EA"/>
    <w:rsid w:val="00D17DF5"/>
    <w:rsid w:val="00D37715"/>
    <w:rsid w:val="00D41ED0"/>
    <w:rsid w:val="00D438D7"/>
    <w:rsid w:val="00D65146"/>
    <w:rsid w:val="00D666CE"/>
    <w:rsid w:val="00D674D5"/>
    <w:rsid w:val="00D7017C"/>
    <w:rsid w:val="00D742A2"/>
    <w:rsid w:val="00DC43D7"/>
    <w:rsid w:val="00DC57BF"/>
    <w:rsid w:val="00DC6DEC"/>
    <w:rsid w:val="00DC7A79"/>
    <w:rsid w:val="00DE4DDD"/>
    <w:rsid w:val="00DE7778"/>
    <w:rsid w:val="00DF08A2"/>
    <w:rsid w:val="00DF2735"/>
    <w:rsid w:val="00E02841"/>
    <w:rsid w:val="00E16F7B"/>
    <w:rsid w:val="00E1736F"/>
    <w:rsid w:val="00E32109"/>
    <w:rsid w:val="00E36148"/>
    <w:rsid w:val="00E43387"/>
    <w:rsid w:val="00E56734"/>
    <w:rsid w:val="00E60608"/>
    <w:rsid w:val="00E710D0"/>
    <w:rsid w:val="00E7644E"/>
    <w:rsid w:val="00E9223A"/>
    <w:rsid w:val="00E9504A"/>
    <w:rsid w:val="00E951DF"/>
    <w:rsid w:val="00EB1A66"/>
    <w:rsid w:val="00EB4E97"/>
    <w:rsid w:val="00EC4251"/>
    <w:rsid w:val="00EC5A62"/>
    <w:rsid w:val="00ED6EEF"/>
    <w:rsid w:val="00EE259D"/>
    <w:rsid w:val="00EE3418"/>
    <w:rsid w:val="00EE52E4"/>
    <w:rsid w:val="00EE56E4"/>
    <w:rsid w:val="00EE5AA9"/>
    <w:rsid w:val="00EF61B6"/>
    <w:rsid w:val="00EF756F"/>
    <w:rsid w:val="00F02A95"/>
    <w:rsid w:val="00F22FC9"/>
    <w:rsid w:val="00F60A27"/>
    <w:rsid w:val="00F634E7"/>
    <w:rsid w:val="00F71BC3"/>
    <w:rsid w:val="00F7219C"/>
    <w:rsid w:val="00F760DF"/>
    <w:rsid w:val="00F8057F"/>
    <w:rsid w:val="00F81B11"/>
    <w:rsid w:val="00F917C1"/>
    <w:rsid w:val="00F91D00"/>
    <w:rsid w:val="00FA4DC6"/>
    <w:rsid w:val="00FB75F7"/>
    <w:rsid w:val="00FC31F9"/>
    <w:rsid w:val="00FC6DC5"/>
    <w:rsid w:val="00FD3DB2"/>
    <w:rsid w:val="00FE3D4E"/>
    <w:rsid w:val="00FE4DF1"/>
    <w:rsid w:val="00FF0D82"/>
    <w:rsid w:val="00FF0FAB"/>
    <w:rsid w:val="00FF65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C271A7"/>
  <w15:chartTrackingRefBased/>
  <w15:docId w15:val="{35EC7E3E-5A79-4F6B-AC16-925CCD2C66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043D"/>
  </w:style>
  <w:style w:type="paragraph" w:styleId="Heading1">
    <w:name w:val="heading 1"/>
    <w:basedOn w:val="Normal"/>
    <w:next w:val="Normal"/>
    <w:link w:val="Heading1Char"/>
    <w:uiPriority w:val="9"/>
    <w:qFormat/>
    <w:rsid w:val="0020043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20043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20043D"/>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unhideWhenUsed/>
    <w:qFormat/>
    <w:rsid w:val="0020043D"/>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20043D"/>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20043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0043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0043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0043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0043D"/>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0043D"/>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0043D"/>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rsid w:val="0020043D"/>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0043D"/>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0043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0043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0043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0043D"/>
    <w:rPr>
      <w:rFonts w:eastAsiaTheme="majorEastAsia" w:cstheme="majorBidi"/>
      <w:color w:val="272727" w:themeColor="text1" w:themeTint="D8"/>
    </w:rPr>
  </w:style>
  <w:style w:type="paragraph" w:styleId="Title">
    <w:name w:val="Title"/>
    <w:basedOn w:val="Normal"/>
    <w:next w:val="Normal"/>
    <w:link w:val="TitleChar"/>
    <w:uiPriority w:val="10"/>
    <w:qFormat/>
    <w:rsid w:val="0020043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0043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0043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0043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0043D"/>
    <w:pPr>
      <w:spacing w:before="160"/>
      <w:jc w:val="center"/>
    </w:pPr>
    <w:rPr>
      <w:i/>
      <w:iCs/>
      <w:color w:val="404040" w:themeColor="text1" w:themeTint="BF"/>
    </w:rPr>
  </w:style>
  <w:style w:type="character" w:customStyle="1" w:styleId="QuoteChar">
    <w:name w:val="Quote Char"/>
    <w:basedOn w:val="DefaultParagraphFont"/>
    <w:link w:val="Quote"/>
    <w:uiPriority w:val="29"/>
    <w:rsid w:val="0020043D"/>
    <w:rPr>
      <w:i/>
      <w:iCs/>
      <w:color w:val="404040" w:themeColor="text1" w:themeTint="BF"/>
    </w:rPr>
  </w:style>
  <w:style w:type="paragraph" w:styleId="ListParagraph">
    <w:name w:val="List Paragraph"/>
    <w:basedOn w:val="Normal"/>
    <w:uiPriority w:val="34"/>
    <w:qFormat/>
    <w:rsid w:val="0020043D"/>
    <w:pPr>
      <w:ind w:left="720"/>
      <w:contextualSpacing/>
    </w:pPr>
  </w:style>
  <w:style w:type="character" w:styleId="IntenseEmphasis">
    <w:name w:val="Intense Emphasis"/>
    <w:basedOn w:val="DefaultParagraphFont"/>
    <w:uiPriority w:val="21"/>
    <w:qFormat/>
    <w:rsid w:val="0020043D"/>
    <w:rPr>
      <w:i/>
      <w:iCs/>
      <w:color w:val="2F5496" w:themeColor="accent1" w:themeShade="BF"/>
    </w:rPr>
  </w:style>
  <w:style w:type="paragraph" w:styleId="IntenseQuote">
    <w:name w:val="Intense Quote"/>
    <w:basedOn w:val="Normal"/>
    <w:next w:val="Normal"/>
    <w:link w:val="IntenseQuoteChar"/>
    <w:uiPriority w:val="30"/>
    <w:qFormat/>
    <w:rsid w:val="0020043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20043D"/>
    <w:rPr>
      <w:i/>
      <w:iCs/>
      <w:color w:val="2F5496" w:themeColor="accent1" w:themeShade="BF"/>
    </w:rPr>
  </w:style>
  <w:style w:type="character" w:styleId="IntenseReference">
    <w:name w:val="Intense Reference"/>
    <w:basedOn w:val="DefaultParagraphFont"/>
    <w:uiPriority w:val="32"/>
    <w:qFormat/>
    <w:rsid w:val="0020043D"/>
    <w:rPr>
      <w:b/>
      <w:bCs/>
      <w:smallCaps/>
      <w:color w:val="2F5496" w:themeColor="accent1" w:themeShade="BF"/>
      <w:spacing w:val="5"/>
    </w:rPr>
  </w:style>
  <w:style w:type="character" w:styleId="Hyperlink">
    <w:name w:val="Hyperlink"/>
    <w:basedOn w:val="DefaultParagraphFont"/>
    <w:uiPriority w:val="99"/>
    <w:unhideWhenUsed/>
    <w:rsid w:val="00062B30"/>
    <w:rPr>
      <w:color w:val="0563C1" w:themeColor="hyperlink"/>
      <w:u w:val="single"/>
    </w:rPr>
  </w:style>
  <w:style w:type="character" w:styleId="UnresolvedMention">
    <w:name w:val="Unresolved Mention"/>
    <w:basedOn w:val="DefaultParagraphFont"/>
    <w:uiPriority w:val="99"/>
    <w:semiHidden/>
    <w:unhideWhenUsed/>
    <w:rsid w:val="00062B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174011">
      <w:bodyDiv w:val="1"/>
      <w:marLeft w:val="0"/>
      <w:marRight w:val="0"/>
      <w:marTop w:val="0"/>
      <w:marBottom w:val="0"/>
      <w:divBdr>
        <w:top w:val="none" w:sz="0" w:space="0" w:color="auto"/>
        <w:left w:val="none" w:sz="0" w:space="0" w:color="auto"/>
        <w:bottom w:val="none" w:sz="0" w:space="0" w:color="auto"/>
        <w:right w:val="none" w:sz="0" w:space="0" w:color="auto"/>
      </w:divBdr>
    </w:div>
    <w:div w:id="62603223">
      <w:bodyDiv w:val="1"/>
      <w:marLeft w:val="0"/>
      <w:marRight w:val="0"/>
      <w:marTop w:val="0"/>
      <w:marBottom w:val="0"/>
      <w:divBdr>
        <w:top w:val="none" w:sz="0" w:space="0" w:color="auto"/>
        <w:left w:val="none" w:sz="0" w:space="0" w:color="auto"/>
        <w:bottom w:val="none" w:sz="0" w:space="0" w:color="auto"/>
        <w:right w:val="none" w:sz="0" w:space="0" w:color="auto"/>
      </w:divBdr>
    </w:div>
    <w:div w:id="64962839">
      <w:bodyDiv w:val="1"/>
      <w:marLeft w:val="0"/>
      <w:marRight w:val="0"/>
      <w:marTop w:val="0"/>
      <w:marBottom w:val="0"/>
      <w:divBdr>
        <w:top w:val="none" w:sz="0" w:space="0" w:color="auto"/>
        <w:left w:val="none" w:sz="0" w:space="0" w:color="auto"/>
        <w:bottom w:val="none" w:sz="0" w:space="0" w:color="auto"/>
        <w:right w:val="none" w:sz="0" w:space="0" w:color="auto"/>
      </w:divBdr>
    </w:div>
    <w:div w:id="65493819">
      <w:bodyDiv w:val="1"/>
      <w:marLeft w:val="0"/>
      <w:marRight w:val="0"/>
      <w:marTop w:val="0"/>
      <w:marBottom w:val="0"/>
      <w:divBdr>
        <w:top w:val="none" w:sz="0" w:space="0" w:color="auto"/>
        <w:left w:val="none" w:sz="0" w:space="0" w:color="auto"/>
        <w:bottom w:val="none" w:sz="0" w:space="0" w:color="auto"/>
        <w:right w:val="none" w:sz="0" w:space="0" w:color="auto"/>
      </w:divBdr>
    </w:div>
    <w:div w:id="91360898">
      <w:bodyDiv w:val="1"/>
      <w:marLeft w:val="0"/>
      <w:marRight w:val="0"/>
      <w:marTop w:val="0"/>
      <w:marBottom w:val="0"/>
      <w:divBdr>
        <w:top w:val="none" w:sz="0" w:space="0" w:color="auto"/>
        <w:left w:val="none" w:sz="0" w:space="0" w:color="auto"/>
        <w:bottom w:val="none" w:sz="0" w:space="0" w:color="auto"/>
        <w:right w:val="none" w:sz="0" w:space="0" w:color="auto"/>
      </w:divBdr>
    </w:div>
    <w:div w:id="117067794">
      <w:bodyDiv w:val="1"/>
      <w:marLeft w:val="0"/>
      <w:marRight w:val="0"/>
      <w:marTop w:val="0"/>
      <w:marBottom w:val="0"/>
      <w:divBdr>
        <w:top w:val="none" w:sz="0" w:space="0" w:color="auto"/>
        <w:left w:val="none" w:sz="0" w:space="0" w:color="auto"/>
        <w:bottom w:val="none" w:sz="0" w:space="0" w:color="auto"/>
        <w:right w:val="none" w:sz="0" w:space="0" w:color="auto"/>
      </w:divBdr>
    </w:div>
    <w:div w:id="132716064">
      <w:bodyDiv w:val="1"/>
      <w:marLeft w:val="0"/>
      <w:marRight w:val="0"/>
      <w:marTop w:val="0"/>
      <w:marBottom w:val="0"/>
      <w:divBdr>
        <w:top w:val="none" w:sz="0" w:space="0" w:color="auto"/>
        <w:left w:val="none" w:sz="0" w:space="0" w:color="auto"/>
        <w:bottom w:val="none" w:sz="0" w:space="0" w:color="auto"/>
        <w:right w:val="none" w:sz="0" w:space="0" w:color="auto"/>
      </w:divBdr>
    </w:div>
    <w:div w:id="143544278">
      <w:bodyDiv w:val="1"/>
      <w:marLeft w:val="0"/>
      <w:marRight w:val="0"/>
      <w:marTop w:val="0"/>
      <w:marBottom w:val="0"/>
      <w:divBdr>
        <w:top w:val="none" w:sz="0" w:space="0" w:color="auto"/>
        <w:left w:val="none" w:sz="0" w:space="0" w:color="auto"/>
        <w:bottom w:val="none" w:sz="0" w:space="0" w:color="auto"/>
        <w:right w:val="none" w:sz="0" w:space="0" w:color="auto"/>
      </w:divBdr>
    </w:div>
    <w:div w:id="149757435">
      <w:bodyDiv w:val="1"/>
      <w:marLeft w:val="0"/>
      <w:marRight w:val="0"/>
      <w:marTop w:val="0"/>
      <w:marBottom w:val="0"/>
      <w:divBdr>
        <w:top w:val="none" w:sz="0" w:space="0" w:color="auto"/>
        <w:left w:val="none" w:sz="0" w:space="0" w:color="auto"/>
        <w:bottom w:val="none" w:sz="0" w:space="0" w:color="auto"/>
        <w:right w:val="none" w:sz="0" w:space="0" w:color="auto"/>
      </w:divBdr>
    </w:div>
    <w:div w:id="161702955">
      <w:bodyDiv w:val="1"/>
      <w:marLeft w:val="0"/>
      <w:marRight w:val="0"/>
      <w:marTop w:val="0"/>
      <w:marBottom w:val="0"/>
      <w:divBdr>
        <w:top w:val="none" w:sz="0" w:space="0" w:color="auto"/>
        <w:left w:val="none" w:sz="0" w:space="0" w:color="auto"/>
        <w:bottom w:val="none" w:sz="0" w:space="0" w:color="auto"/>
        <w:right w:val="none" w:sz="0" w:space="0" w:color="auto"/>
      </w:divBdr>
    </w:div>
    <w:div w:id="183522558">
      <w:bodyDiv w:val="1"/>
      <w:marLeft w:val="0"/>
      <w:marRight w:val="0"/>
      <w:marTop w:val="0"/>
      <w:marBottom w:val="0"/>
      <w:divBdr>
        <w:top w:val="none" w:sz="0" w:space="0" w:color="auto"/>
        <w:left w:val="none" w:sz="0" w:space="0" w:color="auto"/>
        <w:bottom w:val="none" w:sz="0" w:space="0" w:color="auto"/>
        <w:right w:val="none" w:sz="0" w:space="0" w:color="auto"/>
      </w:divBdr>
    </w:div>
    <w:div w:id="200947945">
      <w:bodyDiv w:val="1"/>
      <w:marLeft w:val="0"/>
      <w:marRight w:val="0"/>
      <w:marTop w:val="0"/>
      <w:marBottom w:val="0"/>
      <w:divBdr>
        <w:top w:val="none" w:sz="0" w:space="0" w:color="auto"/>
        <w:left w:val="none" w:sz="0" w:space="0" w:color="auto"/>
        <w:bottom w:val="none" w:sz="0" w:space="0" w:color="auto"/>
        <w:right w:val="none" w:sz="0" w:space="0" w:color="auto"/>
      </w:divBdr>
    </w:div>
    <w:div w:id="202793210">
      <w:bodyDiv w:val="1"/>
      <w:marLeft w:val="0"/>
      <w:marRight w:val="0"/>
      <w:marTop w:val="0"/>
      <w:marBottom w:val="0"/>
      <w:divBdr>
        <w:top w:val="none" w:sz="0" w:space="0" w:color="auto"/>
        <w:left w:val="none" w:sz="0" w:space="0" w:color="auto"/>
        <w:bottom w:val="none" w:sz="0" w:space="0" w:color="auto"/>
        <w:right w:val="none" w:sz="0" w:space="0" w:color="auto"/>
      </w:divBdr>
    </w:div>
    <w:div w:id="207495347">
      <w:bodyDiv w:val="1"/>
      <w:marLeft w:val="0"/>
      <w:marRight w:val="0"/>
      <w:marTop w:val="0"/>
      <w:marBottom w:val="0"/>
      <w:divBdr>
        <w:top w:val="none" w:sz="0" w:space="0" w:color="auto"/>
        <w:left w:val="none" w:sz="0" w:space="0" w:color="auto"/>
        <w:bottom w:val="none" w:sz="0" w:space="0" w:color="auto"/>
        <w:right w:val="none" w:sz="0" w:space="0" w:color="auto"/>
      </w:divBdr>
    </w:div>
    <w:div w:id="264196093">
      <w:bodyDiv w:val="1"/>
      <w:marLeft w:val="0"/>
      <w:marRight w:val="0"/>
      <w:marTop w:val="0"/>
      <w:marBottom w:val="0"/>
      <w:divBdr>
        <w:top w:val="none" w:sz="0" w:space="0" w:color="auto"/>
        <w:left w:val="none" w:sz="0" w:space="0" w:color="auto"/>
        <w:bottom w:val="none" w:sz="0" w:space="0" w:color="auto"/>
        <w:right w:val="none" w:sz="0" w:space="0" w:color="auto"/>
      </w:divBdr>
    </w:div>
    <w:div w:id="292634897">
      <w:bodyDiv w:val="1"/>
      <w:marLeft w:val="0"/>
      <w:marRight w:val="0"/>
      <w:marTop w:val="0"/>
      <w:marBottom w:val="0"/>
      <w:divBdr>
        <w:top w:val="none" w:sz="0" w:space="0" w:color="auto"/>
        <w:left w:val="none" w:sz="0" w:space="0" w:color="auto"/>
        <w:bottom w:val="none" w:sz="0" w:space="0" w:color="auto"/>
        <w:right w:val="none" w:sz="0" w:space="0" w:color="auto"/>
      </w:divBdr>
    </w:div>
    <w:div w:id="311254490">
      <w:bodyDiv w:val="1"/>
      <w:marLeft w:val="0"/>
      <w:marRight w:val="0"/>
      <w:marTop w:val="0"/>
      <w:marBottom w:val="0"/>
      <w:divBdr>
        <w:top w:val="none" w:sz="0" w:space="0" w:color="auto"/>
        <w:left w:val="none" w:sz="0" w:space="0" w:color="auto"/>
        <w:bottom w:val="none" w:sz="0" w:space="0" w:color="auto"/>
        <w:right w:val="none" w:sz="0" w:space="0" w:color="auto"/>
      </w:divBdr>
    </w:div>
    <w:div w:id="311833538">
      <w:bodyDiv w:val="1"/>
      <w:marLeft w:val="0"/>
      <w:marRight w:val="0"/>
      <w:marTop w:val="0"/>
      <w:marBottom w:val="0"/>
      <w:divBdr>
        <w:top w:val="none" w:sz="0" w:space="0" w:color="auto"/>
        <w:left w:val="none" w:sz="0" w:space="0" w:color="auto"/>
        <w:bottom w:val="none" w:sz="0" w:space="0" w:color="auto"/>
        <w:right w:val="none" w:sz="0" w:space="0" w:color="auto"/>
      </w:divBdr>
    </w:div>
    <w:div w:id="320692885">
      <w:bodyDiv w:val="1"/>
      <w:marLeft w:val="0"/>
      <w:marRight w:val="0"/>
      <w:marTop w:val="0"/>
      <w:marBottom w:val="0"/>
      <w:divBdr>
        <w:top w:val="none" w:sz="0" w:space="0" w:color="auto"/>
        <w:left w:val="none" w:sz="0" w:space="0" w:color="auto"/>
        <w:bottom w:val="none" w:sz="0" w:space="0" w:color="auto"/>
        <w:right w:val="none" w:sz="0" w:space="0" w:color="auto"/>
      </w:divBdr>
    </w:div>
    <w:div w:id="409037826">
      <w:bodyDiv w:val="1"/>
      <w:marLeft w:val="0"/>
      <w:marRight w:val="0"/>
      <w:marTop w:val="0"/>
      <w:marBottom w:val="0"/>
      <w:divBdr>
        <w:top w:val="none" w:sz="0" w:space="0" w:color="auto"/>
        <w:left w:val="none" w:sz="0" w:space="0" w:color="auto"/>
        <w:bottom w:val="none" w:sz="0" w:space="0" w:color="auto"/>
        <w:right w:val="none" w:sz="0" w:space="0" w:color="auto"/>
      </w:divBdr>
    </w:div>
    <w:div w:id="412313519">
      <w:bodyDiv w:val="1"/>
      <w:marLeft w:val="0"/>
      <w:marRight w:val="0"/>
      <w:marTop w:val="0"/>
      <w:marBottom w:val="0"/>
      <w:divBdr>
        <w:top w:val="none" w:sz="0" w:space="0" w:color="auto"/>
        <w:left w:val="none" w:sz="0" w:space="0" w:color="auto"/>
        <w:bottom w:val="none" w:sz="0" w:space="0" w:color="auto"/>
        <w:right w:val="none" w:sz="0" w:space="0" w:color="auto"/>
      </w:divBdr>
    </w:div>
    <w:div w:id="463277711">
      <w:bodyDiv w:val="1"/>
      <w:marLeft w:val="0"/>
      <w:marRight w:val="0"/>
      <w:marTop w:val="0"/>
      <w:marBottom w:val="0"/>
      <w:divBdr>
        <w:top w:val="none" w:sz="0" w:space="0" w:color="auto"/>
        <w:left w:val="none" w:sz="0" w:space="0" w:color="auto"/>
        <w:bottom w:val="none" w:sz="0" w:space="0" w:color="auto"/>
        <w:right w:val="none" w:sz="0" w:space="0" w:color="auto"/>
      </w:divBdr>
    </w:div>
    <w:div w:id="499855369">
      <w:bodyDiv w:val="1"/>
      <w:marLeft w:val="0"/>
      <w:marRight w:val="0"/>
      <w:marTop w:val="0"/>
      <w:marBottom w:val="0"/>
      <w:divBdr>
        <w:top w:val="none" w:sz="0" w:space="0" w:color="auto"/>
        <w:left w:val="none" w:sz="0" w:space="0" w:color="auto"/>
        <w:bottom w:val="none" w:sz="0" w:space="0" w:color="auto"/>
        <w:right w:val="none" w:sz="0" w:space="0" w:color="auto"/>
      </w:divBdr>
    </w:div>
    <w:div w:id="508369458">
      <w:bodyDiv w:val="1"/>
      <w:marLeft w:val="0"/>
      <w:marRight w:val="0"/>
      <w:marTop w:val="0"/>
      <w:marBottom w:val="0"/>
      <w:divBdr>
        <w:top w:val="none" w:sz="0" w:space="0" w:color="auto"/>
        <w:left w:val="none" w:sz="0" w:space="0" w:color="auto"/>
        <w:bottom w:val="none" w:sz="0" w:space="0" w:color="auto"/>
        <w:right w:val="none" w:sz="0" w:space="0" w:color="auto"/>
      </w:divBdr>
    </w:div>
    <w:div w:id="537855034">
      <w:bodyDiv w:val="1"/>
      <w:marLeft w:val="0"/>
      <w:marRight w:val="0"/>
      <w:marTop w:val="0"/>
      <w:marBottom w:val="0"/>
      <w:divBdr>
        <w:top w:val="none" w:sz="0" w:space="0" w:color="auto"/>
        <w:left w:val="none" w:sz="0" w:space="0" w:color="auto"/>
        <w:bottom w:val="none" w:sz="0" w:space="0" w:color="auto"/>
        <w:right w:val="none" w:sz="0" w:space="0" w:color="auto"/>
      </w:divBdr>
    </w:div>
    <w:div w:id="637297925">
      <w:bodyDiv w:val="1"/>
      <w:marLeft w:val="0"/>
      <w:marRight w:val="0"/>
      <w:marTop w:val="0"/>
      <w:marBottom w:val="0"/>
      <w:divBdr>
        <w:top w:val="none" w:sz="0" w:space="0" w:color="auto"/>
        <w:left w:val="none" w:sz="0" w:space="0" w:color="auto"/>
        <w:bottom w:val="none" w:sz="0" w:space="0" w:color="auto"/>
        <w:right w:val="none" w:sz="0" w:space="0" w:color="auto"/>
      </w:divBdr>
    </w:div>
    <w:div w:id="643312298">
      <w:bodyDiv w:val="1"/>
      <w:marLeft w:val="0"/>
      <w:marRight w:val="0"/>
      <w:marTop w:val="0"/>
      <w:marBottom w:val="0"/>
      <w:divBdr>
        <w:top w:val="none" w:sz="0" w:space="0" w:color="auto"/>
        <w:left w:val="none" w:sz="0" w:space="0" w:color="auto"/>
        <w:bottom w:val="none" w:sz="0" w:space="0" w:color="auto"/>
        <w:right w:val="none" w:sz="0" w:space="0" w:color="auto"/>
      </w:divBdr>
    </w:div>
    <w:div w:id="726612493">
      <w:bodyDiv w:val="1"/>
      <w:marLeft w:val="0"/>
      <w:marRight w:val="0"/>
      <w:marTop w:val="0"/>
      <w:marBottom w:val="0"/>
      <w:divBdr>
        <w:top w:val="none" w:sz="0" w:space="0" w:color="auto"/>
        <w:left w:val="none" w:sz="0" w:space="0" w:color="auto"/>
        <w:bottom w:val="none" w:sz="0" w:space="0" w:color="auto"/>
        <w:right w:val="none" w:sz="0" w:space="0" w:color="auto"/>
      </w:divBdr>
    </w:div>
    <w:div w:id="777526456">
      <w:bodyDiv w:val="1"/>
      <w:marLeft w:val="0"/>
      <w:marRight w:val="0"/>
      <w:marTop w:val="0"/>
      <w:marBottom w:val="0"/>
      <w:divBdr>
        <w:top w:val="none" w:sz="0" w:space="0" w:color="auto"/>
        <w:left w:val="none" w:sz="0" w:space="0" w:color="auto"/>
        <w:bottom w:val="none" w:sz="0" w:space="0" w:color="auto"/>
        <w:right w:val="none" w:sz="0" w:space="0" w:color="auto"/>
      </w:divBdr>
    </w:div>
    <w:div w:id="809902054">
      <w:bodyDiv w:val="1"/>
      <w:marLeft w:val="0"/>
      <w:marRight w:val="0"/>
      <w:marTop w:val="0"/>
      <w:marBottom w:val="0"/>
      <w:divBdr>
        <w:top w:val="none" w:sz="0" w:space="0" w:color="auto"/>
        <w:left w:val="none" w:sz="0" w:space="0" w:color="auto"/>
        <w:bottom w:val="none" w:sz="0" w:space="0" w:color="auto"/>
        <w:right w:val="none" w:sz="0" w:space="0" w:color="auto"/>
      </w:divBdr>
    </w:div>
    <w:div w:id="837378774">
      <w:bodyDiv w:val="1"/>
      <w:marLeft w:val="0"/>
      <w:marRight w:val="0"/>
      <w:marTop w:val="0"/>
      <w:marBottom w:val="0"/>
      <w:divBdr>
        <w:top w:val="none" w:sz="0" w:space="0" w:color="auto"/>
        <w:left w:val="none" w:sz="0" w:space="0" w:color="auto"/>
        <w:bottom w:val="none" w:sz="0" w:space="0" w:color="auto"/>
        <w:right w:val="none" w:sz="0" w:space="0" w:color="auto"/>
      </w:divBdr>
    </w:div>
    <w:div w:id="872691078">
      <w:bodyDiv w:val="1"/>
      <w:marLeft w:val="0"/>
      <w:marRight w:val="0"/>
      <w:marTop w:val="0"/>
      <w:marBottom w:val="0"/>
      <w:divBdr>
        <w:top w:val="none" w:sz="0" w:space="0" w:color="auto"/>
        <w:left w:val="none" w:sz="0" w:space="0" w:color="auto"/>
        <w:bottom w:val="none" w:sz="0" w:space="0" w:color="auto"/>
        <w:right w:val="none" w:sz="0" w:space="0" w:color="auto"/>
      </w:divBdr>
    </w:div>
    <w:div w:id="964459577">
      <w:bodyDiv w:val="1"/>
      <w:marLeft w:val="0"/>
      <w:marRight w:val="0"/>
      <w:marTop w:val="0"/>
      <w:marBottom w:val="0"/>
      <w:divBdr>
        <w:top w:val="none" w:sz="0" w:space="0" w:color="auto"/>
        <w:left w:val="none" w:sz="0" w:space="0" w:color="auto"/>
        <w:bottom w:val="none" w:sz="0" w:space="0" w:color="auto"/>
        <w:right w:val="none" w:sz="0" w:space="0" w:color="auto"/>
      </w:divBdr>
    </w:div>
    <w:div w:id="989138821">
      <w:bodyDiv w:val="1"/>
      <w:marLeft w:val="0"/>
      <w:marRight w:val="0"/>
      <w:marTop w:val="0"/>
      <w:marBottom w:val="0"/>
      <w:divBdr>
        <w:top w:val="none" w:sz="0" w:space="0" w:color="auto"/>
        <w:left w:val="none" w:sz="0" w:space="0" w:color="auto"/>
        <w:bottom w:val="none" w:sz="0" w:space="0" w:color="auto"/>
        <w:right w:val="none" w:sz="0" w:space="0" w:color="auto"/>
      </w:divBdr>
    </w:div>
    <w:div w:id="991984930">
      <w:bodyDiv w:val="1"/>
      <w:marLeft w:val="0"/>
      <w:marRight w:val="0"/>
      <w:marTop w:val="0"/>
      <w:marBottom w:val="0"/>
      <w:divBdr>
        <w:top w:val="none" w:sz="0" w:space="0" w:color="auto"/>
        <w:left w:val="none" w:sz="0" w:space="0" w:color="auto"/>
        <w:bottom w:val="none" w:sz="0" w:space="0" w:color="auto"/>
        <w:right w:val="none" w:sz="0" w:space="0" w:color="auto"/>
      </w:divBdr>
    </w:div>
    <w:div w:id="1042247631">
      <w:bodyDiv w:val="1"/>
      <w:marLeft w:val="0"/>
      <w:marRight w:val="0"/>
      <w:marTop w:val="0"/>
      <w:marBottom w:val="0"/>
      <w:divBdr>
        <w:top w:val="none" w:sz="0" w:space="0" w:color="auto"/>
        <w:left w:val="none" w:sz="0" w:space="0" w:color="auto"/>
        <w:bottom w:val="none" w:sz="0" w:space="0" w:color="auto"/>
        <w:right w:val="none" w:sz="0" w:space="0" w:color="auto"/>
      </w:divBdr>
    </w:div>
    <w:div w:id="1065638535">
      <w:bodyDiv w:val="1"/>
      <w:marLeft w:val="0"/>
      <w:marRight w:val="0"/>
      <w:marTop w:val="0"/>
      <w:marBottom w:val="0"/>
      <w:divBdr>
        <w:top w:val="none" w:sz="0" w:space="0" w:color="auto"/>
        <w:left w:val="none" w:sz="0" w:space="0" w:color="auto"/>
        <w:bottom w:val="none" w:sz="0" w:space="0" w:color="auto"/>
        <w:right w:val="none" w:sz="0" w:space="0" w:color="auto"/>
      </w:divBdr>
    </w:div>
    <w:div w:id="1076707670">
      <w:bodyDiv w:val="1"/>
      <w:marLeft w:val="0"/>
      <w:marRight w:val="0"/>
      <w:marTop w:val="0"/>
      <w:marBottom w:val="0"/>
      <w:divBdr>
        <w:top w:val="none" w:sz="0" w:space="0" w:color="auto"/>
        <w:left w:val="none" w:sz="0" w:space="0" w:color="auto"/>
        <w:bottom w:val="none" w:sz="0" w:space="0" w:color="auto"/>
        <w:right w:val="none" w:sz="0" w:space="0" w:color="auto"/>
      </w:divBdr>
    </w:div>
    <w:div w:id="1102804116">
      <w:bodyDiv w:val="1"/>
      <w:marLeft w:val="0"/>
      <w:marRight w:val="0"/>
      <w:marTop w:val="0"/>
      <w:marBottom w:val="0"/>
      <w:divBdr>
        <w:top w:val="none" w:sz="0" w:space="0" w:color="auto"/>
        <w:left w:val="none" w:sz="0" w:space="0" w:color="auto"/>
        <w:bottom w:val="none" w:sz="0" w:space="0" w:color="auto"/>
        <w:right w:val="none" w:sz="0" w:space="0" w:color="auto"/>
      </w:divBdr>
    </w:div>
    <w:div w:id="1112826971">
      <w:bodyDiv w:val="1"/>
      <w:marLeft w:val="0"/>
      <w:marRight w:val="0"/>
      <w:marTop w:val="0"/>
      <w:marBottom w:val="0"/>
      <w:divBdr>
        <w:top w:val="none" w:sz="0" w:space="0" w:color="auto"/>
        <w:left w:val="none" w:sz="0" w:space="0" w:color="auto"/>
        <w:bottom w:val="none" w:sz="0" w:space="0" w:color="auto"/>
        <w:right w:val="none" w:sz="0" w:space="0" w:color="auto"/>
      </w:divBdr>
    </w:div>
    <w:div w:id="1119765953">
      <w:bodyDiv w:val="1"/>
      <w:marLeft w:val="0"/>
      <w:marRight w:val="0"/>
      <w:marTop w:val="0"/>
      <w:marBottom w:val="0"/>
      <w:divBdr>
        <w:top w:val="none" w:sz="0" w:space="0" w:color="auto"/>
        <w:left w:val="none" w:sz="0" w:space="0" w:color="auto"/>
        <w:bottom w:val="none" w:sz="0" w:space="0" w:color="auto"/>
        <w:right w:val="none" w:sz="0" w:space="0" w:color="auto"/>
      </w:divBdr>
    </w:div>
    <w:div w:id="1125663007">
      <w:bodyDiv w:val="1"/>
      <w:marLeft w:val="0"/>
      <w:marRight w:val="0"/>
      <w:marTop w:val="0"/>
      <w:marBottom w:val="0"/>
      <w:divBdr>
        <w:top w:val="none" w:sz="0" w:space="0" w:color="auto"/>
        <w:left w:val="none" w:sz="0" w:space="0" w:color="auto"/>
        <w:bottom w:val="none" w:sz="0" w:space="0" w:color="auto"/>
        <w:right w:val="none" w:sz="0" w:space="0" w:color="auto"/>
      </w:divBdr>
    </w:div>
    <w:div w:id="1179463537">
      <w:bodyDiv w:val="1"/>
      <w:marLeft w:val="0"/>
      <w:marRight w:val="0"/>
      <w:marTop w:val="0"/>
      <w:marBottom w:val="0"/>
      <w:divBdr>
        <w:top w:val="none" w:sz="0" w:space="0" w:color="auto"/>
        <w:left w:val="none" w:sz="0" w:space="0" w:color="auto"/>
        <w:bottom w:val="none" w:sz="0" w:space="0" w:color="auto"/>
        <w:right w:val="none" w:sz="0" w:space="0" w:color="auto"/>
      </w:divBdr>
    </w:div>
    <w:div w:id="1208369493">
      <w:bodyDiv w:val="1"/>
      <w:marLeft w:val="0"/>
      <w:marRight w:val="0"/>
      <w:marTop w:val="0"/>
      <w:marBottom w:val="0"/>
      <w:divBdr>
        <w:top w:val="none" w:sz="0" w:space="0" w:color="auto"/>
        <w:left w:val="none" w:sz="0" w:space="0" w:color="auto"/>
        <w:bottom w:val="none" w:sz="0" w:space="0" w:color="auto"/>
        <w:right w:val="none" w:sz="0" w:space="0" w:color="auto"/>
      </w:divBdr>
    </w:div>
    <w:div w:id="1218200850">
      <w:bodyDiv w:val="1"/>
      <w:marLeft w:val="0"/>
      <w:marRight w:val="0"/>
      <w:marTop w:val="0"/>
      <w:marBottom w:val="0"/>
      <w:divBdr>
        <w:top w:val="none" w:sz="0" w:space="0" w:color="auto"/>
        <w:left w:val="none" w:sz="0" w:space="0" w:color="auto"/>
        <w:bottom w:val="none" w:sz="0" w:space="0" w:color="auto"/>
        <w:right w:val="none" w:sz="0" w:space="0" w:color="auto"/>
      </w:divBdr>
    </w:div>
    <w:div w:id="1247157227">
      <w:bodyDiv w:val="1"/>
      <w:marLeft w:val="0"/>
      <w:marRight w:val="0"/>
      <w:marTop w:val="0"/>
      <w:marBottom w:val="0"/>
      <w:divBdr>
        <w:top w:val="none" w:sz="0" w:space="0" w:color="auto"/>
        <w:left w:val="none" w:sz="0" w:space="0" w:color="auto"/>
        <w:bottom w:val="none" w:sz="0" w:space="0" w:color="auto"/>
        <w:right w:val="none" w:sz="0" w:space="0" w:color="auto"/>
      </w:divBdr>
    </w:div>
    <w:div w:id="1282229003">
      <w:bodyDiv w:val="1"/>
      <w:marLeft w:val="0"/>
      <w:marRight w:val="0"/>
      <w:marTop w:val="0"/>
      <w:marBottom w:val="0"/>
      <w:divBdr>
        <w:top w:val="none" w:sz="0" w:space="0" w:color="auto"/>
        <w:left w:val="none" w:sz="0" w:space="0" w:color="auto"/>
        <w:bottom w:val="none" w:sz="0" w:space="0" w:color="auto"/>
        <w:right w:val="none" w:sz="0" w:space="0" w:color="auto"/>
      </w:divBdr>
    </w:div>
    <w:div w:id="1337343240">
      <w:bodyDiv w:val="1"/>
      <w:marLeft w:val="0"/>
      <w:marRight w:val="0"/>
      <w:marTop w:val="0"/>
      <w:marBottom w:val="0"/>
      <w:divBdr>
        <w:top w:val="none" w:sz="0" w:space="0" w:color="auto"/>
        <w:left w:val="none" w:sz="0" w:space="0" w:color="auto"/>
        <w:bottom w:val="none" w:sz="0" w:space="0" w:color="auto"/>
        <w:right w:val="none" w:sz="0" w:space="0" w:color="auto"/>
      </w:divBdr>
    </w:div>
    <w:div w:id="1338507641">
      <w:bodyDiv w:val="1"/>
      <w:marLeft w:val="0"/>
      <w:marRight w:val="0"/>
      <w:marTop w:val="0"/>
      <w:marBottom w:val="0"/>
      <w:divBdr>
        <w:top w:val="none" w:sz="0" w:space="0" w:color="auto"/>
        <w:left w:val="none" w:sz="0" w:space="0" w:color="auto"/>
        <w:bottom w:val="none" w:sz="0" w:space="0" w:color="auto"/>
        <w:right w:val="none" w:sz="0" w:space="0" w:color="auto"/>
      </w:divBdr>
    </w:div>
    <w:div w:id="1420180529">
      <w:bodyDiv w:val="1"/>
      <w:marLeft w:val="0"/>
      <w:marRight w:val="0"/>
      <w:marTop w:val="0"/>
      <w:marBottom w:val="0"/>
      <w:divBdr>
        <w:top w:val="none" w:sz="0" w:space="0" w:color="auto"/>
        <w:left w:val="none" w:sz="0" w:space="0" w:color="auto"/>
        <w:bottom w:val="none" w:sz="0" w:space="0" w:color="auto"/>
        <w:right w:val="none" w:sz="0" w:space="0" w:color="auto"/>
      </w:divBdr>
    </w:div>
    <w:div w:id="1426145863">
      <w:bodyDiv w:val="1"/>
      <w:marLeft w:val="0"/>
      <w:marRight w:val="0"/>
      <w:marTop w:val="0"/>
      <w:marBottom w:val="0"/>
      <w:divBdr>
        <w:top w:val="none" w:sz="0" w:space="0" w:color="auto"/>
        <w:left w:val="none" w:sz="0" w:space="0" w:color="auto"/>
        <w:bottom w:val="none" w:sz="0" w:space="0" w:color="auto"/>
        <w:right w:val="none" w:sz="0" w:space="0" w:color="auto"/>
      </w:divBdr>
    </w:div>
    <w:div w:id="1439182311">
      <w:bodyDiv w:val="1"/>
      <w:marLeft w:val="0"/>
      <w:marRight w:val="0"/>
      <w:marTop w:val="0"/>
      <w:marBottom w:val="0"/>
      <w:divBdr>
        <w:top w:val="none" w:sz="0" w:space="0" w:color="auto"/>
        <w:left w:val="none" w:sz="0" w:space="0" w:color="auto"/>
        <w:bottom w:val="none" w:sz="0" w:space="0" w:color="auto"/>
        <w:right w:val="none" w:sz="0" w:space="0" w:color="auto"/>
      </w:divBdr>
    </w:div>
    <w:div w:id="1547057783">
      <w:bodyDiv w:val="1"/>
      <w:marLeft w:val="0"/>
      <w:marRight w:val="0"/>
      <w:marTop w:val="0"/>
      <w:marBottom w:val="0"/>
      <w:divBdr>
        <w:top w:val="none" w:sz="0" w:space="0" w:color="auto"/>
        <w:left w:val="none" w:sz="0" w:space="0" w:color="auto"/>
        <w:bottom w:val="none" w:sz="0" w:space="0" w:color="auto"/>
        <w:right w:val="none" w:sz="0" w:space="0" w:color="auto"/>
      </w:divBdr>
    </w:div>
    <w:div w:id="1609699063">
      <w:bodyDiv w:val="1"/>
      <w:marLeft w:val="0"/>
      <w:marRight w:val="0"/>
      <w:marTop w:val="0"/>
      <w:marBottom w:val="0"/>
      <w:divBdr>
        <w:top w:val="none" w:sz="0" w:space="0" w:color="auto"/>
        <w:left w:val="none" w:sz="0" w:space="0" w:color="auto"/>
        <w:bottom w:val="none" w:sz="0" w:space="0" w:color="auto"/>
        <w:right w:val="none" w:sz="0" w:space="0" w:color="auto"/>
      </w:divBdr>
    </w:div>
    <w:div w:id="1636720930">
      <w:bodyDiv w:val="1"/>
      <w:marLeft w:val="0"/>
      <w:marRight w:val="0"/>
      <w:marTop w:val="0"/>
      <w:marBottom w:val="0"/>
      <w:divBdr>
        <w:top w:val="none" w:sz="0" w:space="0" w:color="auto"/>
        <w:left w:val="none" w:sz="0" w:space="0" w:color="auto"/>
        <w:bottom w:val="none" w:sz="0" w:space="0" w:color="auto"/>
        <w:right w:val="none" w:sz="0" w:space="0" w:color="auto"/>
      </w:divBdr>
    </w:div>
    <w:div w:id="1687826678">
      <w:bodyDiv w:val="1"/>
      <w:marLeft w:val="0"/>
      <w:marRight w:val="0"/>
      <w:marTop w:val="0"/>
      <w:marBottom w:val="0"/>
      <w:divBdr>
        <w:top w:val="none" w:sz="0" w:space="0" w:color="auto"/>
        <w:left w:val="none" w:sz="0" w:space="0" w:color="auto"/>
        <w:bottom w:val="none" w:sz="0" w:space="0" w:color="auto"/>
        <w:right w:val="none" w:sz="0" w:space="0" w:color="auto"/>
      </w:divBdr>
    </w:div>
    <w:div w:id="1705709678">
      <w:bodyDiv w:val="1"/>
      <w:marLeft w:val="0"/>
      <w:marRight w:val="0"/>
      <w:marTop w:val="0"/>
      <w:marBottom w:val="0"/>
      <w:divBdr>
        <w:top w:val="none" w:sz="0" w:space="0" w:color="auto"/>
        <w:left w:val="none" w:sz="0" w:space="0" w:color="auto"/>
        <w:bottom w:val="none" w:sz="0" w:space="0" w:color="auto"/>
        <w:right w:val="none" w:sz="0" w:space="0" w:color="auto"/>
      </w:divBdr>
    </w:div>
    <w:div w:id="1714309562">
      <w:bodyDiv w:val="1"/>
      <w:marLeft w:val="0"/>
      <w:marRight w:val="0"/>
      <w:marTop w:val="0"/>
      <w:marBottom w:val="0"/>
      <w:divBdr>
        <w:top w:val="none" w:sz="0" w:space="0" w:color="auto"/>
        <w:left w:val="none" w:sz="0" w:space="0" w:color="auto"/>
        <w:bottom w:val="none" w:sz="0" w:space="0" w:color="auto"/>
        <w:right w:val="none" w:sz="0" w:space="0" w:color="auto"/>
      </w:divBdr>
    </w:div>
    <w:div w:id="1734740513">
      <w:bodyDiv w:val="1"/>
      <w:marLeft w:val="0"/>
      <w:marRight w:val="0"/>
      <w:marTop w:val="0"/>
      <w:marBottom w:val="0"/>
      <w:divBdr>
        <w:top w:val="none" w:sz="0" w:space="0" w:color="auto"/>
        <w:left w:val="none" w:sz="0" w:space="0" w:color="auto"/>
        <w:bottom w:val="none" w:sz="0" w:space="0" w:color="auto"/>
        <w:right w:val="none" w:sz="0" w:space="0" w:color="auto"/>
      </w:divBdr>
    </w:div>
    <w:div w:id="1750038684">
      <w:bodyDiv w:val="1"/>
      <w:marLeft w:val="0"/>
      <w:marRight w:val="0"/>
      <w:marTop w:val="0"/>
      <w:marBottom w:val="0"/>
      <w:divBdr>
        <w:top w:val="none" w:sz="0" w:space="0" w:color="auto"/>
        <w:left w:val="none" w:sz="0" w:space="0" w:color="auto"/>
        <w:bottom w:val="none" w:sz="0" w:space="0" w:color="auto"/>
        <w:right w:val="none" w:sz="0" w:space="0" w:color="auto"/>
      </w:divBdr>
    </w:div>
    <w:div w:id="1797723283">
      <w:bodyDiv w:val="1"/>
      <w:marLeft w:val="0"/>
      <w:marRight w:val="0"/>
      <w:marTop w:val="0"/>
      <w:marBottom w:val="0"/>
      <w:divBdr>
        <w:top w:val="none" w:sz="0" w:space="0" w:color="auto"/>
        <w:left w:val="none" w:sz="0" w:space="0" w:color="auto"/>
        <w:bottom w:val="none" w:sz="0" w:space="0" w:color="auto"/>
        <w:right w:val="none" w:sz="0" w:space="0" w:color="auto"/>
      </w:divBdr>
    </w:div>
    <w:div w:id="1812210791">
      <w:bodyDiv w:val="1"/>
      <w:marLeft w:val="0"/>
      <w:marRight w:val="0"/>
      <w:marTop w:val="0"/>
      <w:marBottom w:val="0"/>
      <w:divBdr>
        <w:top w:val="none" w:sz="0" w:space="0" w:color="auto"/>
        <w:left w:val="none" w:sz="0" w:space="0" w:color="auto"/>
        <w:bottom w:val="none" w:sz="0" w:space="0" w:color="auto"/>
        <w:right w:val="none" w:sz="0" w:space="0" w:color="auto"/>
      </w:divBdr>
    </w:div>
    <w:div w:id="1856919637">
      <w:bodyDiv w:val="1"/>
      <w:marLeft w:val="0"/>
      <w:marRight w:val="0"/>
      <w:marTop w:val="0"/>
      <w:marBottom w:val="0"/>
      <w:divBdr>
        <w:top w:val="none" w:sz="0" w:space="0" w:color="auto"/>
        <w:left w:val="none" w:sz="0" w:space="0" w:color="auto"/>
        <w:bottom w:val="none" w:sz="0" w:space="0" w:color="auto"/>
        <w:right w:val="none" w:sz="0" w:space="0" w:color="auto"/>
      </w:divBdr>
    </w:div>
    <w:div w:id="1863779950">
      <w:bodyDiv w:val="1"/>
      <w:marLeft w:val="0"/>
      <w:marRight w:val="0"/>
      <w:marTop w:val="0"/>
      <w:marBottom w:val="0"/>
      <w:divBdr>
        <w:top w:val="none" w:sz="0" w:space="0" w:color="auto"/>
        <w:left w:val="none" w:sz="0" w:space="0" w:color="auto"/>
        <w:bottom w:val="none" w:sz="0" w:space="0" w:color="auto"/>
        <w:right w:val="none" w:sz="0" w:space="0" w:color="auto"/>
      </w:divBdr>
    </w:div>
    <w:div w:id="1865366314">
      <w:bodyDiv w:val="1"/>
      <w:marLeft w:val="0"/>
      <w:marRight w:val="0"/>
      <w:marTop w:val="0"/>
      <w:marBottom w:val="0"/>
      <w:divBdr>
        <w:top w:val="none" w:sz="0" w:space="0" w:color="auto"/>
        <w:left w:val="none" w:sz="0" w:space="0" w:color="auto"/>
        <w:bottom w:val="none" w:sz="0" w:space="0" w:color="auto"/>
        <w:right w:val="none" w:sz="0" w:space="0" w:color="auto"/>
      </w:divBdr>
    </w:div>
    <w:div w:id="1883400970">
      <w:bodyDiv w:val="1"/>
      <w:marLeft w:val="0"/>
      <w:marRight w:val="0"/>
      <w:marTop w:val="0"/>
      <w:marBottom w:val="0"/>
      <w:divBdr>
        <w:top w:val="none" w:sz="0" w:space="0" w:color="auto"/>
        <w:left w:val="none" w:sz="0" w:space="0" w:color="auto"/>
        <w:bottom w:val="none" w:sz="0" w:space="0" w:color="auto"/>
        <w:right w:val="none" w:sz="0" w:space="0" w:color="auto"/>
      </w:divBdr>
    </w:div>
    <w:div w:id="1893077031">
      <w:bodyDiv w:val="1"/>
      <w:marLeft w:val="0"/>
      <w:marRight w:val="0"/>
      <w:marTop w:val="0"/>
      <w:marBottom w:val="0"/>
      <w:divBdr>
        <w:top w:val="none" w:sz="0" w:space="0" w:color="auto"/>
        <w:left w:val="none" w:sz="0" w:space="0" w:color="auto"/>
        <w:bottom w:val="none" w:sz="0" w:space="0" w:color="auto"/>
        <w:right w:val="none" w:sz="0" w:space="0" w:color="auto"/>
      </w:divBdr>
    </w:div>
    <w:div w:id="1899053114">
      <w:bodyDiv w:val="1"/>
      <w:marLeft w:val="0"/>
      <w:marRight w:val="0"/>
      <w:marTop w:val="0"/>
      <w:marBottom w:val="0"/>
      <w:divBdr>
        <w:top w:val="none" w:sz="0" w:space="0" w:color="auto"/>
        <w:left w:val="none" w:sz="0" w:space="0" w:color="auto"/>
        <w:bottom w:val="none" w:sz="0" w:space="0" w:color="auto"/>
        <w:right w:val="none" w:sz="0" w:space="0" w:color="auto"/>
      </w:divBdr>
    </w:div>
    <w:div w:id="1914776029">
      <w:bodyDiv w:val="1"/>
      <w:marLeft w:val="0"/>
      <w:marRight w:val="0"/>
      <w:marTop w:val="0"/>
      <w:marBottom w:val="0"/>
      <w:divBdr>
        <w:top w:val="none" w:sz="0" w:space="0" w:color="auto"/>
        <w:left w:val="none" w:sz="0" w:space="0" w:color="auto"/>
        <w:bottom w:val="none" w:sz="0" w:space="0" w:color="auto"/>
        <w:right w:val="none" w:sz="0" w:space="0" w:color="auto"/>
      </w:divBdr>
    </w:div>
    <w:div w:id="1940286188">
      <w:bodyDiv w:val="1"/>
      <w:marLeft w:val="0"/>
      <w:marRight w:val="0"/>
      <w:marTop w:val="0"/>
      <w:marBottom w:val="0"/>
      <w:divBdr>
        <w:top w:val="none" w:sz="0" w:space="0" w:color="auto"/>
        <w:left w:val="none" w:sz="0" w:space="0" w:color="auto"/>
        <w:bottom w:val="none" w:sz="0" w:space="0" w:color="auto"/>
        <w:right w:val="none" w:sz="0" w:space="0" w:color="auto"/>
      </w:divBdr>
    </w:div>
    <w:div w:id="1961956195">
      <w:bodyDiv w:val="1"/>
      <w:marLeft w:val="0"/>
      <w:marRight w:val="0"/>
      <w:marTop w:val="0"/>
      <w:marBottom w:val="0"/>
      <w:divBdr>
        <w:top w:val="none" w:sz="0" w:space="0" w:color="auto"/>
        <w:left w:val="none" w:sz="0" w:space="0" w:color="auto"/>
        <w:bottom w:val="none" w:sz="0" w:space="0" w:color="auto"/>
        <w:right w:val="none" w:sz="0" w:space="0" w:color="auto"/>
      </w:divBdr>
    </w:div>
    <w:div w:id="1992711173">
      <w:bodyDiv w:val="1"/>
      <w:marLeft w:val="0"/>
      <w:marRight w:val="0"/>
      <w:marTop w:val="0"/>
      <w:marBottom w:val="0"/>
      <w:divBdr>
        <w:top w:val="none" w:sz="0" w:space="0" w:color="auto"/>
        <w:left w:val="none" w:sz="0" w:space="0" w:color="auto"/>
        <w:bottom w:val="none" w:sz="0" w:space="0" w:color="auto"/>
        <w:right w:val="none" w:sz="0" w:space="0" w:color="auto"/>
      </w:divBdr>
    </w:div>
    <w:div w:id="2002544711">
      <w:bodyDiv w:val="1"/>
      <w:marLeft w:val="0"/>
      <w:marRight w:val="0"/>
      <w:marTop w:val="0"/>
      <w:marBottom w:val="0"/>
      <w:divBdr>
        <w:top w:val="none" w:sz="0" w:space="0" w:color="auto"/>
        <w:left w:val="none" w:sz="0" w:space="0" w:color="auto"/>
        <w:bottom w:val="none" w:sz="0" w:space="0" w:color="auto"/>
        <w:right w:val="none" w:sz="0" w:space="0" w:color="auto"/>
      </w:divBdr>
    </w:div>
    <w:div w:id="2029453315">
      <w:bodyDiv w:val="1"/>
      <w:marLeft w:val="0"/>
      <w:marRight w:val="0"/>
      <w:marTop w:val="0"/>
      <w:marBottom w:val="0"/>
      <w:divBdr>
        <w:top w:val="none" w:sz="0" w:space="0" w:color="auto"/>
        <w:left w:val="none" w:sz="0" w:space="0" w:color="auto"/>
        <w:bottom w:val="none" w:sz="0" w:space="0" w:color="auto"/>
        <w:right w:val="none" w:sz="0" w:space="0" w:color="auto"/>
      </w:divBdr>
    </w:div>
    <w:div w:id="2064861830">
      <w:bodyDiv w:val="1"/>
      <w:marLeft w:val="0"/>
      <w:marRight w:val="0"/>
      <w:marTop w:val="0"/>
      <w:marBottom w:val="0"/>
      <w:divBdr>
        <w:top w:val="none" w:sz="0" w:space="0" w:color="auto"/>
        <w:left w:val="none" w:sz="0" w:space="0" w:color="auto"/>
        <w:bottom w:val="none" w:sz="0" w:space="0" w:color="auto"/>
        <w:right w:val="none" w:sz="0" w:space="0" w:color="auto"/>
      </w:divBdr>
    </w:div>
    <w:div w:id="2094431829">
      <w:bodyDiv w:val="1"/>
      <w:marLeft w:val="0"/>
      <w:marRight w:val="0"/>
      <w:marTop w:val="0"/>
      <w:marBottom w:val="0"/>
      <w:divBdr>
        <w:top w:val="none" w:sz="0" w:space="0" w:color="auto"/>
        <w:left w:val="none" w:sz="0" w:space="0" w:color="auto"/>
        <w:bottom w:val="none" w:sz="0" w:space="0" w:color="auto"/>
        <w:right w:val="none" w:sz="0" w:space="0" w:color="auto"/>
      </w:divBdr>
    </w:div>
    <w:div w:id="2103186311">
      <w:bodyDiv w:val="1"/>
      <w:marLeft w:val="0"/>
      <w:marRight w:val="0"/>
      <w:marTop w:val="0"/>
      <w:marBottom w:val="0"/>
      <w:divBdr>
        <w:top w:val="none" w:sz="0" w:space="0" w:color="auto"/>
        <w:left w:val="none" w:sz="0" w:space="0" w:color="auto"/>
        <w:bottom w:val="none" w:sz="0" w:space="0" w:color="auto"/>
        <w:right w:val="none" w:sz="0" w:space="0" w:color="auto"/>
      </w:divBdr>
    </w:div>
    <w:div w:id="2114931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mailto:zekeriabu2007@yahoo.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829</TotalTime>
  <Pages>22</Pages>
  <Words>6765</Words>
  <Characters>42623</Characters>
  <Application>Microsoft Office Word</Application>
  <DocSecurity>0</DocSecurity>
  <Lines>804</Lines>
  <Paragraphs>283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366</cp:revision>
  <dcterms:created xsi:type="dcterms:W3CDTF">2025-05-06T11:09:00Z</dcterms:created>
  <dcterms:modified xsi:type="dcterms:W3CDTF">2025-05-11T18:12:00Z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b39f8c82-80fa-4366-aa21-83fa8a44fefd</vt:lpwstr>
  </property>
</Properties>
</file>