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0BE25A" w14:textId="77777777" w:rsidR="00314FE4" w:rsidRPr="00F0030C" w:rsidRDefault="00314FE4" w:rsidP="00F0030C">
      <w:pPr>
        <w:spacing w:after="0" w:line="480" w:lineRule="auto"/>
        <w:jc w:val="both"/>
        <w:rPr>
          <w:rFonts w:ascii="Times New Roman" w:eastAsia="Times New Roman" w:hAnsi="Times New Roman" w:cs="Times New Roman"/>
          <w:color w:val="000000"/>
          <w:sz w:val="24"/>
          <w:szCs w:val="24"/>
        </w:rPr>
      </w:pPr>
      <w:r w:rsidRPr="00F0030C">
        <w:rPr>
          <w:rFonts w:ascii="Times New Roman" w:eastAsia="Times New Roman" w:hAnsi="Times New Roman" w:cs="Times New Roman"/>
          <w:color w:val="000000"/>
          <w:sz w:val="24"/>
          <w:szCs w:val="24"/>
        </w:rPr>
        <w:t>P</w:t>
      </w:r>
      <w:r w:rsidRPr="00314FE4">
        <w:rPr>
          <w:rFonts w:ascii="Times New Roman" w:eastAsia="Times New Roman" w:hAnsi="Times New Roman" w:cs="Times New Roman"/>
          <w:color w:val="000000"/>
          <w:sz w:val="24"/>
          <w:szCs w:val="24"/>
        </w:rPr>
        <w:t xml:space="preserve">hoenix dactylifera and Polyphenols Ameliorated Monosodium Glutamate toxicity in the Dentate Gyrus of Wistar Rats  </w:t>
      </w:r>
    </w:p>
    <w:p w14:paraId="40E6CE96" w14:textId="7DB24585" w:rsidR="00314FE4" w:rsidRPr="00F0030C" w:rsidRDefault="00314FE4" w:rsidP="00F0030C">
      <w:pPr>
        <w:spacing w:after="0" w:line="480" w:lineRule="auto"/>
        <w:jc w:val="both"/>
        <w:rPr>
          <w:rFonts w:ascii="Times New Roman" w:eastAsia="Times New Roman" w:hAnsi="Times New Roman" w:cs="Times New Roman"/>
          <w:color w:val="000000"/>
          <w:sz w:val="24"/>
          <w:szCs w:val="24"/>
        </w:rPr>
      </w:pPr>
      <w:r w:rsidRPr="00314FE4">
        <w:rPr>
          <w:rFonts w:ascii="Times New Roman" w:eastAsia="Times New Roman" w:hAnsi="Times New Roman" w:cs="Times New Roman"/>
          <w:color w:val="000000"/>
          <w:sz w:val="24"/>
          <w:szCs w:val="24"/>
        </w:rPr>
        <w:t>*</w:t>
      </w:r>
      <w:proofErr w:type="spellStart"/>
      <w:r w:rsidRPr="00314FE4">
        <w:rPr>
          <w:rFonts w:ascii="Times New Roman" w:eastAsia="Times New Roman" w:hAnsi="Times New Roman" w:cs="Times New Roman"/>
          <w:color w:val="000000"/>
          <w:sz w:val="24"/>
          <w:szCs w:val="24"/>
        </w:rPr>
        <w:t>Ibiyeye</w:t>
      </w:r>
      <w:proofErr w:type="spellEnd"/>
      <w:r w:rsidRPr="00314FE4">
        <w:rPr>
          <w:rFonts w:ascii="Times New Roman" w:eastAsia="Times New Roman" w:hAnsi="Times New Roman" w:cs="Times New Roman"/>
          <w:color w:val="000000"/>
          <w:sz w:val="24"/>
          <w:szCs w:val="24"/>
        </w:rPr>
        <w:t>,</w:t>
      </w:r>
      <w:r w:rsidR="00F0030C">
        <w:rPr>
          <w:rFonts w:ascii="Times New Roman" w:eastAsia="Times New Roman" w:hAnsi="Times New Roman" w:cs="Times New Roman"/>
          <w:color w:val="000000"/>
          <w:sz w:val="24"/>
          <w:szCs w:val="24"/>
        </w:rPr>
        <w:t xml:space="preserve"> </w:t>
      </w:r>
      <w:r w:rsidRPr="00314FE4">
        <w:rPr>
          <w:rFonts w:ascii="Times New Roman" w:eastAsia="Times New Roman" w:hAnsi="Times New Roman" w:cs="Times New Roman"/>
          <w:color w:val="000000"/>
          <w:sz w:val="24"/>
          <w:szCs w:val="24"/>
        </w:rPr>
        <w:t xml:space="preserve">R.Y., Imam A., Adana M.Y., Sulaimon F.A., </w:t>
      </w:r>
      <w:proofErr w:type="spellStart"/>
      <w:r w:rsidRPr="00314FE4">
        <w:rPr>
          <w:rFonts w:ascii="Times New Roman" w:eastAsia="Times New Roman" w:hAnsi="Times New Roman" w:cs="Times New Roman"/>
          <w:color w:val="000000"/>
          <w:sz w:val="24"/>
          <w:szCs w:val="24"/>
        </w:rPr>
        <w:t>Okesina</w:t>
      </w:r>
      <w:proofErr w:type="spellEnd"/>
      <w:r w:rsidRPr="00314FE4">
        <w:rPr>
          <w:rFonts w:ascii="Times New Roman" w:eastAsia="Times New Roman" w:hAnsi="Times New Roman" w:cs="Times New Roman"/>
          <w:color w:val="000000"/>
          <w:sz w:val="24"/>
          <w:szCs w:val="24"/>
        </w:rPr>
        <w:t xml:space="preserve"> A.A. and Ajao</w:t>
      </w:r>
      <w:r w:rsidR="00FC0431">
        <w:rPr>
          <w:rFonts w:ascii="Times New Roman" w:eastAsia="Times New Roman" w:hAnsi="Times New Roman" w:cs="Times New Roman"/>
          <w:color w:val="000000"/>
          <w:sz w:val="24"/>
          <w:szCs w:val="24"/>
        </w:rPr>
        <w:t xml:space="preserve"> </w:t>
      </w:r>
      <w:r w:rsidRPr="00314FE4">
        <w:rPr>
          <w:rFonts w:ascii="Times New Roman" w:eastAsia="Times New Roman" w:hAnsi="Times New Roman" w:cs="Times New Roman"/>
          <w:color w:val="000000"/>
          <w:sz w:val="24"/>
          <w:szCs w:val="24"/>
        </w:rPr>
        <w:t>M.S.</w:t>
      </w:r>
    </w:p>
    <w:p w14:paraId="404ACC5B" w14:textId="77777777" w:rsidR="00314FE4" w:rsidRPr="00F0030C" w:rsidRDefault="00314FE4" w:rsidP="00F0030C">
      <w:pPr>
        <w:spacing w:after="0" w:line="480" w:lineRule="auto"/>
        <w:jc w:val="both"/>
        <w:rPr>
          <w:rFonts w:ascii="Times New Roman" w:eastAsia="Times New Roman" w:hAnsi="Times New Roman" w:cs="Times New Roman"/>
          <w:color w:val="000000"/>
          <w:sz w:val="24"/>
          <w:szCs w:val="24"/>
        </w:rPr>
      </w:pPr>
    </w:p>
    <w:p w14:paraId="157CDCB3" w14:textId="49344FFF" w:rsidR="00314FE4" w:rsidRPr="00F0030C" w:rsidRDefault="00314FE4" w:rsidP="00F0030C">
      <w:pPr>
        <w:spacing w:after="0" w:line="480" w:lineRule="auto"/>
        <w:jc w:val="both"/>
        <w:rPr>
          <w:rFonts w:ascii="Times New Roman" w:eastAsia="Times New Roman" w:hAnsi="Times New Roman" w:cs="Times New Roman"/>
          <w:color w:val="000000"/>
          <w:sz w:val="24"/>
          <w:szCs w:val="24"/>
        </w:rPr>
      </w:pPr>
      <w:r w:rsidRPr="00314FE4">
        <w:rPr>
          <w:rFonts w:ascii="Times New Roman" w:eastAsia="Times New Roman" w:hAnsi="Times New Roman" w:cs="Times New Roman"/>
          <w:color w:val="000000"/>
          <w:sz w:val="24"/>
          <w:szCs w:val="24"/>
        </w:rPr>
        <w:t>Summary:</w:t>
      </w:r>
      <w:r w:rsidRPr="00F0030C">
        <w:rPr>
          <w:rFonts w:ascii="Times New Roman" w:eastAsia="Times New Roman" w:hAnsi="Times New Roman" w:cs="Times New Roman"/>
          <w:color w:val="000000"/>
          <w:sz w:val="24"/>
          <w:szCs w:val="24"/>
        </w:rPr>
        <w:t xml:space="preserve"> </w:t>
      </w:r>
      <w:r w:rsidRPr="00314FE4">
        <w:rPr>
          <w:rFonts w:ascii="Times New Roman" w:eastAsia="Times New Roman" w:hAnsi="Times New Roman" w:cs="Times New Roman"/>
          <w:color w:val="000000"/>
          <w:sz w:val="24"/>
          <w:szCs w:val="24"/>
        </w:rPr>
        <w:t xml:space="preserve">Monosodium glutamate (MSG) has been known to cause neurodegeneration, due </w:t>
      </w:r>
      <w:proofErr w:type="gramStart"/>
      <w:r w:rsidRPr="00314FE4">
        <w:rPr>
          <w:rFonts w:ascii="Times New Roman" w:eastAsia="Times New Roman" w:hAnsi="Times New Roman" w:cs="Times New Roman"/>
          <w:color w:val="000000"/>
          <w:sz w:val="24"/>
          <w:szCs w:val="24"/>
        </w:rPr>
        <w:t>to  its</w:t>
      </w:r>
      <w:proofErr w:type="gramEnd"/>
      <w:r w:rsidRPr="00314FE4">
        <w:rPr>
          <w:rFonts w:ascii="Times New Roman" w:eastAsia="Times New Roman" w:hAnsi="Times New Roman" w:cs="Times New Roman"/>
          <w:color w:val="000000"/>
          <w:sz w:val="24"/>
          <w:szCs w:val="24"/>
        </w:rPr>
        <w:t xml:space="preserve">  ability  to  trigger excitotoxicity, and the hippocampus is one of the most affected regions. Therefore, Phoenix dactylifera (P. dactylifera) and polyphenols were employed in this study to mitigate on the deleterious effect of monosodium glutamate on the dentate gyrus of Wistar rats. Forty-eight male Wistar rats weighing between 120-150g was used for the study. The Wistar rats were grouped into eight, (n=6).  Groups 1-8received 1.6mL/kg normal saline, 4000mg\kg monosodium glutamate for 7-days, 4000mg\kg monosodium glutamate for 7-days and 100mg\kg caffeic-acid for 14-days concurrently, 4000mg\kg monosodium glutamate for 7-days and 100mg\kg P. dactylifera for 14-days concurrently, 4000mg\kg monosodium glutamate for 7-days and 100mg\kg luteolin for 14-days concurrently, 100mg\kg. caffeic-acid for 14-days followed by 4000mg\kg monosodium glutamate for 7-days, 100mg\kg P. dactylifera for 14-days followed by 4000mg\kg monosodium glutamate for 7-days and 100mg\kg luteolin for 14-days followed by 4000mg\kg monosodium glutamate for 7-days respectively. After the treatments, </w:t>
      </w:r>
      <w:proofErr w:type="gramStart"/>
      <w:r w:rsidRPr="00314FE4">
        <w:rPr>
          <w:rFonts w:ascii="Times New Roman" w:eastAsia="Times New Roman" w:hAnsi="Times New Roman" w:cs="Times New Roman"/>
          <w:color w:val="000000"/>
          <w:sz w:val="24"/>
          <w:szCs w:val="24"/>
        </w:rPr>
        <w:t>the  rats</w:t>
      </w:r>
      <w:proofErr w:type="gramEnd"/>
      <w:r w:rsidRPr="00314FE4">
        <w:rPr>
          <w:rFonts w:ascii="Times New Roman" w:eastAsia="Times New Roman" w:hAnsi="Times New Roman" w:cs="Times New Roman"/>
          <w:color w:val="000000"/>
          <w:sz w:val="24"/>
          <w:szCs w:val="24"/>
        </w:rPr>
        <w:t xml:space="preserve">  underwent  </w:t>
      </w:r>
      <w:proofErr w:type="spellStart"/>
      <w:r w:rsidRPr="00314FE4">
        <w:rPr>
          <w:rFonts w:ascii="Times New Roman" w:eastAsia="Times New Roman" w:hAnsi="Times New Roman" w:cs="Times New Roman"/>
          <w:color w:val="000000"/>
          <w:sz w:val="24"/>
          <w:szCs w:val="24"/>
        </w:rPr>
        <w:t>behavioural</w:t>
      </w:r>
      <w:proofErr w:type="spellEnd"/>
      <w:r w:rsidRPr="00314FE4">
        <w:rPr>
          <w:rFonts w:ascii="Times New Roman" w:eastAsia="Times New Roman" w:hAnsi="Times New Roman" w:cs="Times New Roman"/>
          <w:color w:val="000000"/>
          <w:sz w:val="24"/>
          <w:szCs w:val="24"/>
        </w:rPr>
        <w:t xml:space="preserve">  test  (Y-maze  test),  and  subsequently,  the  brain  tissues  were  processed  for  histological (Hematoxylin  &amp;  Eosin  stain)  and  biochemical  (superoxide  </w:t>
      </w:r>
      <w:proofErr w:type="spellStart"/>
      <w:r w:rsidRPr="00314FE4">
        <w:rPr>
          <w:rFonts w:ascii="Times New Roman" w:eastAsia="Times New Roman" w:hAnsi="Times New Roman" w:cs="Times New Roman"/>
          <w:color w:val="000000"/>
          <w:sz w:val="24"/>
          <w:szCs w:val="24"/>
        </w:rPr>
        <w:t>dismustase</w:t>
      </w:r>
      <w:proofErr w:type="spellEnd"/>
      <w:r w:rsidRPr="00314FE4">
        <w:rPr>
          <w:rFonts w:ascii="Times New Roman" w:eastAsia="Times New Roman" w:hAnsi="Times New Roman" w:cs="Times New Roman"/>
          <w:color w:val="000000"/>
          <w:sz w:val="24"/>
          <w:szCs w:val="24"/>
        </w:rPr>
        <w:t xml:space="preserve">,  glutathione  peroxidase  and  malondialdehyde) analyses.  </w:t>
      </w:r>
      <w:proofErr w:type="gramStart"/>
      <w:r w:rsidRPr="00314FE4">
        <w:rPr>
          <w:rFonts w:ascii="Times New Roman" w:eastAsia="Times New Roman" w:hAnsi="Times New Roman" w:cs="Times New Roman"/>
          <w:color w:val="000000"/>
          <w:sz w:val="24"/>
          <w:szCs w:val="24"/>
        </w:rPr>
        <w:t>The  activities</w:t>
      </w:r>
      <w:proofErr w:type="gramEnd"/>
      <w:r w:rsidRPr="00314FE4">
        <w:rPr>
          <w:rFonts w:ascii="Times New Roman" w:eastAsia="Times New Roman" w:hAnsi="Times New Roman" w:cs="Times New Roman"/>
          <w:color w:val="000000"/>
          <w:sz w:val="24"/>
          <w:szCs w:val="24"/>
        </w:rPr>
        <w:t xml:space="preserve">  of P. dactylifera and</w:t>
      </w:r>
      <w:r w:rsidRPr="00F0030C">
        <w:rPr>
          <w:rFonts w:ascii="Times New Roman" w:eastAsia="Times New Roman" w:hAnsi="Times New Roman" w:cs="Times New Roman"/>
          <w:color w:val="000000"/>
          <w:sz w:val="24"/>
          <w:szCs w:val="24"/>
        </w:rPr>
        <w:t xml:space="preserve"> </w:t>
      </w:r>
      <w:r w:rsidRPr="00314FE4">
        <w:rPr>
          <w:rFonts w:ascii="Times New Roman" w:eastAsia="Times New Roman" w:hAnsi="Times New Roman" w:cs="Times New Roman"/>
          <w:color w:val="000000"/>
          <w:sz w:val="24"/>
          <w:szCs w:val="24"/>
        </w:rPr>
        <w:t xml:space="preserve">polyphenols  ameliorated  the  deleterious  effect  of  monosodium glutamate, through increased spontaneous alternation of the experimental animals, dominant matured granule cells of the dentate gyrus and modulated the activities of superoxide dismutase, glutathione peroxidase and </w:t>
      </w:r>
      <w:r w:rsidRPr="00314FE4">
        <w:rPr>
          <w:rFonts w:ascii="Times New Roman" w:eastAsia="Times New Roman" w:hAnsi="Times New Roman" w:cs="Times New Roman"/>
          <w:color w:val="000000"/>
          <w:sz w:val="24"/>
          <w:szCs w:val="24"/>
        </w:rPr>
        <w:lastRenderedPageBreak/>
        <w:t xml:space="preserve">malondialdehyde in the male Wistar rats. </w:t>
      </w:r>
      <w:proofErr w:type="gramStart"/>
      <w:r w:rsidRPr="00314FE4">
        <w:rPr>
          <w:rFonts w:ascii="Times New Roman" w:eastAsia="Times New Roman" w:hAnsi="Times New Roman" w:cs="Times New Roman"/>
          <w:color w:val="000000"/>
          <w:sz w:val="24"/>
          <w:szCs w:val="24"/>
        </w:rPr>
        <w:t>Therefore,  this</w:t>
      </w:r>
      <w:proofErr w:type="gramEnd"/>
      <w:r w:rsidRPr="00314FE4">
        <w:rPr>
          <w:rFonts w:ascii="Times New Roman" w:eastAsia="Times New Roman" w:hAnsi="Times New Roman" w:cs="Times New Roman"/>
          <w:color w:val="000000"/>
          <w:sz w:val="24"/>
          <w:szCs w:val="24"/>
        </w:rPr>
        <w:t xml:space="preserve">  study  revealed  that P.  </w:t>
      </w:r>
      <w:proofErr w:type="spellStart"/>
      <w:r w:rsidRPr="00314FE4">
        <w:rPr>
          <w:rFonts w:ascii="Times New Roman" w:eastAsia="Times New Roman" w:hAnsi="Times New Roman" w:cs="Times New Roman"/>
          <w:color w:val="000000"/>
          <w:sz w:val="24"/>
          <w:szCs w:val="24"/>
        </w:rPr>
        <w:t>dactyliferaa</w:t>
      </w:r>
      <w:proofErr w:type="spellEnd"/>
      <w:r w:rsidRPr="00314FE4">
        <w:rPr>
          <w:rFonts w:ascii="Times New Roman" w:eastAsia="Times New Roman" w:hAnsi="Times New Roman" w:cs="Times New Roman"/>
          <w:color w:val="000000"/>
          <w:sz w:val="24"/>
          <w:szCs w:val="24"/>
        </w:rPr>
        <w:t xml:space="preserve"> </w:t>
      </w:r>
      <w:proofErr w:type="gramStart"/>
      <w:r w:rsidRPr="00314FE4">
        <w:rPr>
          <w:rFonts w:ascii="Times New Roman" w:eastAsia="Times New Roman" w:hAnsi="Times New Roman" w:cs="Times New Roman"/>
          <w:color w:val="000000"/>
          <w:sz w:val="24"/>
          <w:szCs w:val="24"/>
        </w:rPr>
        <w:t>and  polyphenols</w:t>
      </w:r>
      <w:proofErr w:type="gramEnd"/>
      <w:r w:rsidRPr="00314FE4">
        <w:rPr>
          <w:rFonts w:ascii="Times New Roman" w:eastAsia="Times New Roman" w:hAnsi="Times New Roman" w:cs="Times New Roman"/>
          <w:color w:val="000000"/>
          <w:sz w:val="24"/>
          <w:szCs w:val="24"/>
        </w:rPr>
        <w:t xml:space="preserve">  ameliorated  monosodium  glutamate  toxicity  in  the dentate gyrus of Wistar </w:t>
      </w:r>
      <w:proofErr w:type="spellStart"/>
      <w:r w:rsidRPr="00314FE4">
        <w:rPr>
          <w:rFonts w:ascii="Times New Roman" w:eastAsia="Times New Roman" w:hAnsi="Times New Roman" w:cs="Times New Roman"/>
          <w:color w:val="000000"/>
          <w:sz w:val="24"/>
          <w:szCs w:val="24"/>
        </w:rPr>
        <w:t>rats.Keywords:Glutamate</w:t>
      </w:r>
      <w:proofErr w:type="spellEnd"/>
      <w:r w:rsidRPr="00314FE4">
        <w:rPr>
          <w:rFonts w:ascii="Times New Roman" w:eastAsia="Times New Roman" w:hAnsi="Times New Roman" w:cs="Times New Roman"/>
          <w:color w:val="000000"/>
          <w:sz w:val="24"/>
          <w:szCs w:val="24"/>
        </w:rPr>
        <w:t xml:space="preserve"> toxicity, Dentate gyrus, Phoenix dactylifera, Oxidative stress, Neurodegeneration*</w:t>
      </w:r>
    </w:p>
    <w:p w14:paraId="6599A000" w14:textId="58ECF4EC" w:rsidR="00314FE4" w:rsidRPr="00314FE4" w:rsidRDefault="00314FE4" w:rsidP="00F0030C">
      <w:pPr>
        <w:spacing w:after="0" w:line="480" w:lineRule="auto"/>
        <w:jc w:val="both"/>
        <w:rPr>
          <w:rFonts w:ascii="Times New Roman" w:eastAsia="Times New Roman" w:hAnsi="Times New Roman" w:cs="Times New Roman"/>
          <w:color w:val="000000"/>
          <w:sz w:val="24"/>
          <w:szCs w:val="24"/>
        </w:rPr>
      </w:pPr>
      <w:r w:rsidRPr="00314FE4">
        <w:rPr>
          <w:rFonts w:ascii="Times New Roman" w:eastAsia="Times New Roman" w:hAnsi="Times New Roman" w:cs="Times New Roman"/>
          <w:color w:val="000000"/>
          <w:sz w:val="24"/>
          <w:szCs w:val="24"/>
        </w:rPr>
        <w:t>Authors</w:t>
      </w:r>
      <w:r w:rsidRPr="00F0030C">
        <w:rPr>
          <w:rFonts w:ascii="Times New Roman" w:eastAsia="Times New Roman" w:hAnsi="Times New Roman" w:cs="Times New Roman"/>
          <w:color w:val="000000"/>
          <w:sz w:val="24"/>
          <w:szCs w:val="24"/>
        </w:rPr>
        <w:t xml:space="preserve"> </w:t>
      </w:r>
      <w:r w:rsidRPr="00314FE4">
        <w:rPr>
          <w:rFonts w:ascii="Times New Roman" w:eastAsia="Times New Roman" w:hAnsi="Times New Roman" w:cs="Times New Roman"/>
          <w:color w:val="000000"/>
          <w:sz w:val="24"/>
          <w:szCs w:val="24"/>
        </w:rPr>
        <w:t>for correspondence: ruqayyah.ibiyeye@kwasu.edu.ng, Tel: +2348035613500Manuscript received-August 2022; Accepted-February2022DOI: https://doi.org/10.54548/njps.v38i1.11</w:t>
      </w:r>
    </w:p>
    <w:p w14:paraId="291475A4" w14:textId="77777777" w:rsidR="002F069C" w:rsidRPr="00F0030C" w:rsidRDefault="002F069C" w:rsidP="00F0030C">
      <w:pPr>
        <w:spacing w:line="480" w:lineRule="auto"/>
        <w:jc w:val="both"/>
        <w:rPr>
          <w:rFonts w:ascii="Times New Roman" w:hAnsi="Times New Roman" w:cs="Times New Roman"/>
          <w:sz w:val="24"/>
          <w:szCs w:val="24"/>
        </w:rPr>
      </w:pPr>
    </w:p>
    <w:sectPr w:rsidR="002F069C" w:rsidRPr="00F0030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4FE4"/>
    <w:rsid w:val="002F069C"/>
    <w:rsid w:val="00314FE4"/>
    <w:rsid w:val="00F0030C"/>
    <w:rsid w:val="00FC04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0A36D"/>
  <w15:chartTrackingRefBased/>
  <w15:docId w15:val="{26EB945B-9B4D-44D6-AD7D-9A900888D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819085">
      <w:bodyDiv w:val="1"/>
      <w:marLeft w:val="0"/>
      <w:marRight w:val="0"/>
      <w:marTop w:val="0"/>
      <w:marBottom w:val="0"/>
      <w:divBdr>
        <w:top w:val="none" w:sz="0" w:space="0" w:color="auto"/>
        <w:left w:val="none" w:sz="0" w:space="0" w:color="auto"/>
        <w:bottom w:val="none" w:sz="0" w:space="0" w:color="auto"/>
        <w:right w:val="none" w:sz="0" w:space="0" w:color="auto"/>
      </w:divBdr>
      <w:divsChild>
        <w:div w:id="14247157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363</Words>
  <Characters>2075</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Ruqayyah</dc:creator>
  <cp:keywords/>
  <dc:description/>
  <cp:lastModifiedBy>Ruqayyah</cp:lastModifiedBy>
  <cp:revision>2</cp:revision>
  <dcterms:created xsi:type="dcterms:W3CDTF">2024-06-05T21:13:00Z</dcterms:created>
  <dcterms:modified xsi:type="dcterms:W3CDTF">2024-06-05T21:22:00Z</dcterms:modified>
</cp:coreProperties>
</file>