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16884" w:rsidRDefault="00387F13" w:rsidP="00B41632">
      <w:pPr>
        <w:spacing w:line="360" w:lineRule="auto"/>
        <w:jc w:val="center"/>
        <w:rPr>
          <w:rFonts w:ascii="Times New Roman" w:hAnsi="Times New Roman" w:cs="Times New Roman"/>
          <w:b/>
          <w:sz w:val="24"/>
          <w:szCs w:val="24"/>
        </w:rPr>
      </w:pPr>
      <w:r w:rsidRPr="00F407C4">
        <w:rPr>
          <w:rFonts w:ascii="Times New Roman" w:hAnsi="Times New Roman" w:cs="Times New Roman"/>
          <w:b/>
          <w:sz w:val="24"/>
          <w:szCs w:val="24"/>
        </w:rPr>
        <w:t>Administration of Pension Funds</w:t>
      </w:r>
      <w:r>
        <w:rPr>
          <w:rFonts w:ascii="Times New Roman" w:hAnsi="Times New Roman" w:cs="Times New Roman"/>
          <w:b/>
          <w:sz w:val="24"/>
          <w:szCs w:val="24"/>
        </w:rPr>
        <w:t xml:space="preserve"> under</w:t>
      </w:r>
      <w:r w:rsidR="00716884" w:rsidRPr="00F407C4">
        <w:rPr>
          <w:rFonts w:ascii="Times New Roman" w:hAnsi="Times New Roman" w:cs="Times New Roman"/>
          <w:b/>
          <w:sz w:val="24"/>
          <w:szCs w:val="24"/>
        </w:rPr>
        <w:t xml:space="preserve"> </w:t>
      </w:r>
      <w:r w:rsidR="00B2262C" w:rsidRPr="00F407C4">
        <w:rPr>
          <w:rFonts w:ascii="Times New Roman" w:hAnsi="Times New Roman" w:cs="Times New Roman"/>
          <w:b/>
          <w:sz w:val="24"/>
          <w:szCs w:val="24"/>
        </w:rPr>
        <w:t>Nigerian New Contributory Pension Scheme</w:t>
      </w:r>
      <w:r>
        <w:rPr>
          <w:rFonts w:ascii="Times New Roman" w:hAnsi="Times New Roman" w:cs="Times New Roman"/>
          <w:b/>
          <w:sz w:val="24"/>
          <w:szCs w:val="24"/>
        </w:rPr>
        <w:t>: A Review</w:t>
      </w:r>
      <w:r w:rsidR="00716884" w:rsidRPr="00F407C4">
        <w:rPr>
          <w:rFonts w:ascii="Times New Roman" w:hAnsi="Times New Roman" w:cs="Times New Roman"/>
          <w:b/>
          <w:sz w:val="24"/>
          <w:szCs w:val="24"/>
        </w:rPr>
        <w:t xml:space="preserve"> </w:t>
      </w:r>
      <w:r w:rsidR="00B2262C" w:rsidRPr="00F407C4">
        <w:rPr>
          <w:rFonts w:ascii="Times New Roman" w:hAnsi="Times New Roman" w:cs="Times New Roman"/>
          <w:b/>
          <w:sz w:val="24"/>
          <w:szCs w:val="24"/>
        </w:rPr>
        <w:t>under Islamic Law</w:t>
      </w:r>
    </w:p>
    <w:p w:rsidR="00332974" w:rsidRDefault="00332974" w:rsidP="00332974">
      <w:pPr>
        <w:spacing w:line="360" w:lineRule="auto"/>
        <w:jc w:val="center"/>
        <w:rPr>
          <w:rFonts w:ascii="Times New Roman" w:hAnsi="Times New Roman" w:cs="Times New Roman"/>
          <w:b/>
          <w:sz w:val="24"/>
          <w:szCs w:val="24"/>
        </w:rPr>
      </w:pPr>
    </w:p>
    <w:p w:rsidR="00381799" w:rsidRDefault="00AA58BF" w:rsidP="00AA58BF">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Onikosi Ahmed Adedeji* </w:t>
      </w:r>
      <w:r w:rsidR="00332974">
        <w:rPr>
          <w:rFonts w:ascii="Times New Roman" w:hAnsi="Times New Roman" w:cs="Times New Roman"/>
          <w:b/>
          <w:sz w:val="24"/>
          <w:szCs w:val="24"/>
        </w:rPr>
        <w:t>A</w:t>
      </w:r>
      <w:r>
        <w:rPr>
          <w:rFonts w:ascii="Times New Roman" w:hAnsi="Times New Roman" w:cs="Times New Roman"/>
          <w:b/>
          <w:sz w:val="24"/>
          <w:szCs w:val="24"/>
        </w:rPr>
        <w:t xml:space="preserve">dekunle A. Aminu** &amp; </w:t>
      </w:r>
      <w:r w:rsidR="00332974">
        <w:rPr>
          <w:rFonts w:ascii="Times New Roman" w:hAnsi="Times New Roman" w:cs="Times New Roman"/>
          <w:b/>
          <w:sz w:val="24"/>
          <w:szCs w:val="24"/>
        </w:rPr>
        <w:t>Ahmed A. Muhammed-Mikaaeel</w:t>
      </w:r>
      <w:r>
        <w:rPr>
          <w:rFonts w:ascii="Times New Roman" w:hAnsi="Times New Roman" w:cs="Times New Roman"/>
          <w:b/>
          <w:sz w:val="24"/>
          <w:szCs w:val="24"/>
        </w:rPr>
        <w:t>***</w:t>
      </w:r>
    </w:p>
    <w:p w:rsidR="00332974" w:rsidRDefault="00332974" w:rsidP="00381799">
      <w:pPr>
        <w:spacing w:line="360" w:lineRule="auto"/>
        <w:jc w:val="center"/>
        <w:rPr>
          <w:rFonts w:ascii="Times New Roman" w:hAnsi="Times New Roman" w:cs="Times New Roman"/>
          <w:b/>
          <w:sz w:val="24"/>
          <w:szCs w:val="24"/>
        </w:rPr>
      </w:pPr>
    </w:p>
    <w:p w:rsidR="00381799" w:rsidRDefault="009D698E" w:rsidP="00332974">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ABSTRACT</w:t>
      </w:r>
    </w:p>
    <w:p w:rsidR="00BA7BD4" w:rsidRDefault="00FE05BB" w:rsidP="0033297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Search for financial</w:t>
      </w:r>
      <w:r w:rsidRPr="00FE05BB">
        <w:rPr>
          <w:rFonts w:ascii="Times New Roman" w:hAnsi="Times New Roman" w:cs="Times New Roman"/>
          <w:sz w:val="24"/>
          <w:szCs w:val="24"/>
        </w:rPr>
        <w:t xml:space="preserve"> </w:t>
      </w:r>
      <w:r>
        <w:rPr>
          <w:rFonts w:ascii="Times New Roman" w:hAnsi="Times New Roman" w:cs="Times New Roman"/>
          <w:sz w:val="24"/>
          <w:szCs w:val="24"/>
        </w:rPr>
        <w:t>s</w:t>
      </w:r>
      <w:r w:rsidRPr="00FE05BB">
        <w:rPr>
          <w:rFonts w:ascii="Times New Roman" w:hAnsi="Times New Roman" w:cs="Times New Roman"/>
          <w:sz w:val="24"/>
          <w:szCs w:val="24"/>
        </w:rPr>
        <w:t>ecurity after active service years</w:t>
      </w:r>
      <w:r>
        <w:rPr>
          <w:rFonts w:ascii="Times New Roman" w:hAnsi="Times New Roman" w:cs="Times New Roman"/>
          <w:sz w:val="24"/>
          <w:szCs w:val="24"/>
        </w:rPr>
        <w:t xml:space="preserve"> of employees in Nigeria gave birth to pension scheme regimes in Nigeria. The focus point of the new pension scheme is security of funds and reasonable investment for profitability. </w:t>
      </w:r>
      <w:r w:rsidR="002577FC">
        <w:rPr>
          <w:rFonts w:ascii="Times New Roman" w:hAnsi="Times New Roman" w:cs="Times New Roman"/>
          <w:sz w:val="24"/>
          <w:szCs w:val="24"/>
        </w:rPr>
        <w:t>Lots of Muslim subscribers have been complaining against the present administration regime of their pension funds. Hence, this paper examines the administration of funds under the new contributory pension scheme from Islamic law perspective. The paper adopts doctrinal method of legal research. It was discovered that Shari’ah is very much interested in what happens to Muslim funds inclusive of the pension funds.</w:t>
      </w:r>
      <w:r w:rsidR="000B2865">
        <w:rPr>
          <w:rFonts w:ascii="Times New Roman" w:hAnsi="Times New Roman" w:cs="Times New Roman"/>
          <w:sz w:val="24"/>
          <w:szCs w:val="24"/>
        </w:rPr>
        <w:t xml:space="preserve"> The paper discovered further that the administration of pension funds in Nigeria is marred with </w:t>
      </w:r>
      <w:r w:rsidR="000B2865" w:rsidRPr="000B2865">
        <w:rPr>
          <w:rFonts w:ascii="Times New Roman" w:hAnsi="Times New Roman" w:cs="Times New Roman"/>
          <w:i/>
          <w:sz w:val="24"/>
          <w:szCs w:val="24"/>
        </w:rPr>
        <w:t xml:space="preserve">gharar, riba </w:t>
      </w:r>
      <w:r w:rsidR="000B2865" w:rsidRPr="000B2865">
        <w:rPr>
          <w:rFonts w:ascii="Times New Roman" w:hAnsi="Times New Roman" w:cs="Times New Roman"/>
          <w:sz w:val="24"/>
          <w:szCs w:val="24"/>
        </w:rPr>
        <w:t>and</w:t>
      </w:r>
      <w:r w:rsidR="000B2865" w:rsidRPr="000B2865">
        <w:rPr>
          <w:rFonts w:ascii="Times New Roman" w:hAnsi="Times New Roman" w:cs="Times New Roman"/>
          <w:i/>
          <w:sz w:val="24"/>
          <w:szCs w:val="24"/>
        </w:rPr>
        <w:t xml:space="preserve"> maisir</w:t>
      </w:r>
      <w:r w:rsidR="000B2865">
        <w:rPr>
          <w:rFonts w:ascii="Times New Roman" w:hAnsi="Times New Roman" w:cs="Times New Roman"/>
          <w:sz w:val="24"/>
          <w:szCs w:val="24"/>
        </w:rPr>
        <w:t xml:space="preserve"> and thus violates Shari’ah tenet. The paper discovered also that the present structure of pension scheme in Nigeria which lacks Shari’ah Advisory Board has been responsible for the continuous violation of Shari’ah tenet in the administration of pension funds. The paper thus principally recommends amendment of the extant pension regime to pave way for Shari’ah Advisory Board to guide on administration of pension funds. </w:t>
      </w:r>
    </w:p>
    <w:p w:rsidR="00395405" w:rsidRPr="00FE05BB" w:rsidRDefault="000B2865" w:rsidP="00BA7BD4">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2577FC">
        <w:rPr>
          <w:rFonts w:ascii="Times New Roman" w:hAnsi="Times New Roman" w:cs="Times New Roman"/>
          <w:sz w:val="24"/>
          <w:szCs w:val="24"/>
        </w:rPr>
        <w:t xml:space="preserve">       </w:t>
      </w:r>
      <w:r w:rsidR="002577FC" w:rsidRPr="00FE05BB">
        <w:rPr>
          <w:rFonts w:ascii="Times New Roman" w:hAnsi="Times New Roman" w:cs="Times New Roman"/>
          <w:sz w:val="24"/>
          <w:szCs w:val="24"/>
        </w:rPr>
        <w:t xml:space="preserve">  </w:t>
      </w:r>
    </w:p>
    <w:p w:rsidR="00381799" w:rsidRPr="00F407C4" w:rsidRDefault="00381799" w:rsidP="00381799">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Key words: </w:t>
      </w:r>
      <w:r w:rsidRPr="00FD31DC">
        <w:rPr>
          <w:rFonts w:ascii="Times New Roman" w:hAnsi="Times New Roman" w:cs="Times New Roman"/>
          <w:i/>
          <w:sz w:val="24"/>
          <w:szCs w:val="24"/>
        </w:rPr>
        <w:t>Administration, Pension Funds, Nigerian New Contributory Pension Scheme, Islamic Law, Review</w:t>
      </w:r>
      <w:r>
        <w:rPr>
          <w:rFonts w:ascii="Times New Roman" w:hAnsi="Times New Roman" w:cs="Times New Roman"/>
          <w:b/>
          <w:sz w:val="24"/>
          <w:szCs w:val="24"/>
        </w:rPr>
        <w:t xml:space="preserve">   </w:t>
      </w:r>
    </w:p>
    <w:p w:rsidR="00716884" w:rsidRPr="00F407C4" w:rsidRDefault="00716884" w:rsidP="00F407C4">
      <w:pPr>
        <w:spacing w:line="360" w:lineRule="auto"/>
        <w:jc w:val="both"/>
        <w:rPr>
          <w:rFonts w:ascii="Times New Roman" w:hAnsi="Times New Roman" w:cs="Times New Roman"/>
          <w:b/>
          <w:sz w:val="24"/>
          <w:szCs w:val="24"/>
        </w:rPr>
      </w:pPr>
      <w:r w:rsidRPr="00F407C4">
        <w:rPr>
          <w:rFonts w:ascii="Times New Roman" w:hAnsi="Times New Roman" w:cs="Times New Roman"/>
          <w:b/>
          <w:sz w:val="24"/>
          <w:szCs w:val="24"/>
        </w:rPr>
        <w:t>1. Introduction</w:t>
      </w:r>
    </w:p>
    <w:p w:rsidR="00716884" w:rsidRPr="00F407C4" w:rsidRDefault="00716884" w:rsidP="00F407C4">
      <w:pPr>
        <w:spacing w:line="360" w:lineRule="auto"/>
        <w:jc w:val="both"/>
        <w:rPr>
          <w:rFonts w:ascii="Times New Roman" w:hAnsi="Times New Roman" w:cs="Times New Roman"/>
          <w:sz w:val="24"/>
          <w:szCs w:val="24"/>
        </w:rPr>
      </w:pPr>
      <w:r w:rsidRPr="00F407C4">
        <w:rPr>
          <w:rFonts w:ascii="Times New Roman" w:hAnsi="Times New Roman" w:cs="Times New Roman"/>
          <w:sz w:val="24"/>
          <w:szCs w:val="24"/>
        </w:rPr>
        <w:t>Generally, a discussion on the Islamic perspective on pension funds makes the topic fall inexcusably under the purview of Islamic finance. The fundamental characteristic of the Islamic finance system today is based on the Qur’an directive which bans the payment and or receipt of interest, gambling, uncertainty and the sharing of profit and loss. The philosophical basis of the Islamic finance system goes beyond the interaction of factors in production and economic behavior.</w:t>
      </w:r>
      <w:r w:rsidRPr="00F407C4">
        <w:rPr>
          <w:rStyle w:val="FootnoteReference"/>
          <w:rFonts w:ascii="Times New Roman" w:hAnsi="Times New Roman" w:cs="Times New Roman"/>
          <w:sz w:val="24"/>
          <w:szCs w:val="24"/>
        </w:rPr>
        <w:footnoteReference w:id="2"/>
      </w:r>
      <w:r w:rsidRPr="00F407C4">
        <w:rPr>
          <w:rFonts w:ascii="Times New Roman" w:hAnsi="Times New Roman" w:cs="Times New Roman"/>
          <w:sz w:val="24"/>
          <w:szCs w:val="24"/>
        </w:rPr>
        <w:t xml:space="preserve"> While the conventional financial system focuses primarily on the economic and </w:t>
      </w:r>
      <w:r w:rsidRPr="00F407C4">
        <w:rPr>
          <w:rFonts w:ascii="Times New Roman" w:hAnsi="Times New Roman" w:cs="Times New Roman"/>
          <w:sz w:val="24"/>
          <w:szCs w:val="24"/>
        </w:rPr>
        <w:lastRenderedPageBreak/>
        <w:t xml:space="preserve">financial aspects of transactions, the Islamic system places equal emphasis on the ethical, moral, social, and religious dimensions. </w:t>
      </w:r>
    </w:p>
    <w:p w:rsidR="00716884" w:rsidRPr="00F407C4" w:rsidRDefault="00716884" w:rsidP="00F407C4">
      <w:pPr>
        <w:spacing w:line="360" w:lineRule="auto"/>
        <w:jc w:val="both"/>
        <w:rPr>
          <w:rFonts w:ascii="Times New Roman" w:hAnsi="Times New Roman" w:cs="Times New Roman"/>
          <w:sz w:val="24"/>
          <w:szCs w:val="24"/>
        </w:rPr>
      </w:pPr>
      <w:r w:rsidRPr="00F407C4">
        <w:rPr>
          <w:rFonts w:ascii="Times New Roman" w:hAnsi="Times New Roman" w:cs="Times New Roman"/>
          <w:sz w:val="24"/>
          <w:szCs w:val="24"/>
        </w:rPr>
        <w:t xml:space="preserve">In addition, Islamic law prohibits investing in businesses that are considered unlawful. These businesses may include, but are certainly not limited to businesses that sell alcohol or pork, or produce gossip columns or pornography. Due to these prohibitions, observant Muslims require specialized </w:t>
      </w:r>
      <w:r w:rsidR="00474383" w:rsidRPr="00F407C4">
        <w:rPr>
          <w:rFonts w:ascii="Times New Roman" w:hAnsi="Times New Roman" w:cs="Times New Roman"/>
          <w:sz w:val="24"/>
          <w:szCs w:val="24"/>
        </w:rPr>
        <w:t>Shari’ah</w:t>
      </w:r>
      <w:r w:rsidRPr="00F407C4">
        <w:rPr>
          <w:rFonts w:ascii="Times New Roman" w:hAnsi="Times New Roman" w:cs="Times New Roman"/>
          <w:sz w:val="24"/>
          <w:szCs w:val="24"/>
        </w:rPr>
        <w:t xml:space="preserve"> compliant alternative arrangements from financial institutions.</w:t>
      </w:r>
    </w:p>
    <w:p w:rsidR="00072E44" w:rsidRDefault="00716884" w:rsidP="00F407C4">
      <w:pPr>
        <w:spacing w:line="360" w:lineRule="auto"/>
        <w:jc w:val="both"/>
        <w:rPr>
          <w:rFonts w:ascii="Times New Roman" w:hAnsi="Times New Roman" w:cs="Times New Roman"/>
          <w:sz w:val="24"/>
          <w:szCs w:val="24"/>
        </w:rPr>
      </w:pPr>
      <w:r w:rsidRPr="00F407C4">
        <w:rPr>
          <w:rFonts w:ascii="Times New Roman" w:hAnsi="Times New Roman" w:cs="Times New Roman"/>
          <w:sz w:val="24"/>
          <w:szCs w:val="24"/>
        </w:rPr>
        <w:t xml:space="preserve">Pension funds, being a species of Islamic finance must also in its entirety conform to the standards of transaction allowed within the confines of the  </w:t>
      </w:r>
      <w:r w:rsidR="00072E44" w:rsidRPr="00F407C4">
        <w:rPr>
          <w:rFonts w:ascii="Times New Roman" w:hAnsi="Times New Roman" w:cs="Times New Roman"/>
          <w:sz w:val="24"/>
          <w:szCs w:val="24"/>
        </w:rPr>
        <w:t>Shari’ah</w:t>
      </w:r>
      <w:r w:rsidRPr="00F407C4">
        <w:rPr>
          <w:rFonts w:ascii="Times New Roman" w:hAnsi="Times New Roman" w:cs="Times New Roman"/>
          <w:sz w:val="24"/>
          <w:szCs w:val="24"/>
        </w:rPr>
        <w:t xml:space="preserve"> without an exception i.e. such  utilization of pension funds must be invested or utilized in such a way that it does not run contrary to the principles guiding  usury, uncertainty or gambling.</w:t>
      </w:r>
    </w:p>
    <w:p w:rsidR="000A06A5" w:rsidRPr="00F407C4" w:rsidRDefault="00072E44" w:rsidP="00F407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Against the foregoing backdrop, this paper examines administration of pension funds under the new Nigerian pension scheme from Islamic law perspective.  </w:t>
      </w:r>
      <w:r w:rsidR="000A06A5" w:rsidRPr="00F407C4">
        <w:rPr>
          <w:rFonts w:ascii="Times New Roman" w:hAnsi="Times New Roman" w:cs="Times New Roman"/>
          <w:sz w:val="24"/>
          <w:szCs w:val="24"/>
        </w:rPr>
        <w:t xml:space="preserve">   </w:t>
      </w:r>
    </w:p>
    <w:p w:rsidR="000A06A5" w:rsidRPr="00F407C4" w:rsidRDefault="00662573" w:rsidP="00F407C4">
      <w:pPr>
        <w:spacing w:line="360" w:lineRule="auto"/>
        <w:jc w:val="both"/>
        <w:rPr>
          <w:rFonts w:ascii="Times New Roman" w:hAnsi="Times New Roman" w:cs="Times New Roman"/>
          <w:b/>
          <w:sz w:val="24"/>
          <w:szCs w:val="24"/>
        </w:rPr>
      </w:pPr>
      <w:r>
        <w:rPr>
          <w:rFonts w:ascii="Times New Roman" w:hAnsi="Times New Roman" w:cs="Times New Roman"/>
          <w:b/>
          <w:sz w:val="24"/>
          <w:szCs w:val="24"/>
        </w:rPr>
        <w:t>2</w:t>
      </w:r>
      <w:r w:rsidR="000A06A5" w:rsidRPr="00F407C4">
        <w:rPr>
          <w:rFonts w:ascii="Times New Roman" w:hAnsi="Times New Roman" w:cs="Times New Roman"/>
          <w:b/>
          <w:sz w:val="24"/>
          <w:szCs w:val="24"/>
        </w:rPr>
        <w:t xml:space="preserve">. </w:t>
      </w:r>
      <w:r w:rsidR="00474383">
        <w:rPr>
          <w:rFonts w:ascii="Times New Roman" w:hAnsi="Times New Roman" w:cs="Times New Roman"/>
          <w:b/>
          <w:sz w:val="24"/>
          <w:szCs w:val="24"/>
        </w:rPr>
        <w:t xml:space="preserve">Understanding the </w:t>
      </w:r>
      <w:r w:rsidR="000A06A5" w:rsidRPr="00F407C4">
        <w:rPr>
          <w:rFonts w:ascii="Times New Roman" w:hAnsi="Times New Roman" w:cs="Times New Roman"/>
          <w:b/>
          <w:sz w:val="24"/>
          <w:szCs w:val="24"/>
        </w:rPr>
        <w:t>Purports of the Pension Funds</w:t>
      </w:r>
    </w:p>
    <w:p w:rsidR="00C73E95" w:rsidRPr="00F407C4" w:rsidRDefault="000A06A5" w:rsidP="00C73E95">
      <w:pPr>
        <w:spacing w:line="360" w:lineRule="auto"/>
        <w:jc w:val="both"/>
        <w:rPr>
          <w:rFonts w:ascii="Times New Roman" w:hAnsi="Times New Roman" w:cs="Times New Roman"/>
          <w:sz w:val="24"/>
          <w:szCs w:val="24"/>
        </w:rPr>
      </w:pPr>
      <w:r w:rsidRPr="00F407C4">
        <w:rPr>
          <w:rFonts w:ascii="Times New Roman" w:hAnsi="Times New Roman" w:cs="Times New Roman"/>
          <w:sz w:val="24"/>
          <w:szCs w:val="24"/>
        </w:rPr>
        <w:t>The primary economic function of a pension plan is to provide retirement income security to plan beneficiaries. This is the conventional view of pensions expressed by most pension professionals</w:t>
      </w:r>
      <w:r w:rsidR="00C73E95">
        <w:rPr>
          <w:rFonts w:ascii="Times New Roman" w:hAnsi="Times New Roman" w:cs="Times New Roman"/>
          <w:sz w:val="24"/>
          <w:szCs w:val="24"/>
        </w:rPr>
        <w:t>.</w:t>
      </w:r>
      <w:r w:rsidRPr="00F407C4">
        <w:rPr>
          <w:rStyle w:val="FootnoteReference"/>
          <w:rFonts w:ascii="Times New Roman" w:hAnsi="Times New Roman" w:cs="Times New Roman"/>
          <w:sz w:val="24"/>
          <w:szCs w:val="24"/>
        </w:rPr>
        <w:footnoteReference w:id="3"/>
      </w:r>
      <w:r w:rsidR="00C73E95">
        <w:rPr>
          <w:rFonts w:ascii="Times New Roman" w:hAnsi="Times New Roman" w:cs="Times New Roman"/>
          <w:sz w:val="24"/>
          <w:szCs w:val="24"/>
        </w:rPr>
        <w:t xml:space="preserve"> Thus</w:t>
      </w:r>
      <w:r w:rsidR="00C73E95" w:rsidRPr="00F407C4">
        <w:rPr>
          <w:rFonts w:ascii="Times New Roman" w:hAnsi="Times New Roman" w:cs="Times New Roman"/>
          <w:sz w:val="24"/>
          <w:szCs w:val="24"/>
        </w:rPr>
        <w:t xml:space="preserve"> </w:t>
      </w:r>
      <w:r w:rsidR="00C73E95">
        <w:rPr>
          <w:rFonts w:ascii="Times New Roman" w:hAnsi="Times New Roman" w:cs="Times New Roman"/>
          <w:sz w:val="24"/>
          <w:szCs w:val="24"/>
        </w:rPr>
        <w:t>the</w:t>
      </w:r>
      <w:r w:rsidR="00C73E95" w:rsidRPr="00F407C4">
        <w:rPr>
          <w:rFonts w:ascii="Times New Roman" w:hAnsi="Times New Roman" w:cs="Times New Roman"/>
          <w:sz w:val="24"/>
          <w:szCs w:val="24"/>
        </w:rPr>
        <w:t xml:space="preserve"> concern of the new pension scheme is safety of the fund and the maintenance of fair returns on the amount invested</w:t>
      </w:r>
      <w:r w:rsidR="00C73E95">
        <w:rPr>
          <w:rFonts w:ascii="Times New Roman" w:hAnsi="Times New Roman" w:cs="Times New Roman"/>
          <w:sz w:val="24"/>
          <w:szCs w:val="24"/>
        </w:rPr>
        <w:t>.</w:t>
      </w:r>
      <w:r w:rsidR="00C73E95" w:rsidRPr="00F407C4">
        <w:rPr>
          <w:rStyle w:val="FootnoteReference"/>
          <w:rFonts w:ascii="Times New Roman" w:hAnsi="Times New Roman" w:cs="Times New Roman"/>
          <w:sz w:val="24"/>
          <w:szCs w:val="24"/>
        </w:rPr>
        <w:footnoteReference w:id="4"/>
      </w:r>
      <w:r w:rsidR="00C73E95" w:rsidRPr="00F407C4">
        <w:rPr>
          <w:rFonts w:ascii="Times New Roman" w:hAnsi="Times New Roman" w:cs="Times New Roman"/>
          <w:sz w:val="24"/>
          <w:szCs w:val="24"/>
        </w:rPr>
        <w:t xml:space="preserve"> The need for safety is emphasized in</w:t>
      </w:r>
      <w:r w:rsidR="00EC5BCE">
        <w:rPr>
          <w:rFonts w:ascii="Times New Roman" w:hAnsi="Times New Roman" w:cs="Times New Roman"/>
          <w:sz w:val="24"/>
          <w:szCs w:val="24"/>
        </w:rPr>
        <w:t xml:space="preserve"> </w:t>
      </w:r>
      <w:r w:rsidR="00C73E95" w:rsidRPr="00F407C4">
        <w:rPr>
          <w:rFonts w:ascii="Times New Roman" w:hAnsi="Times New Roman" w:cs="Times New Roman"/>
          <w:sz w:val="24"/>
          <w:szCs w:val="24"/>
        </w:rPr>
        <w:t xml:space="preserve">determining the quality of the instrument to invest in and a </w:t>
      </w:r>
      <w:r w:rsidR="00712BC1">
        <w:rPr>
          <w:rFonts w:ascii="Times New Roman" w:hAnsi="Times New Roman" w:cs="Times New Roman"/>
          <w:sz w:val="24"/>
          <w:szCs w:val="24"/>
        </w:rPr>
        <w:t>Pension Fund Administrator (</w:t>
      </w:r>
      <w:r w:rsidR="00C73E95" w:rsidRPr="00F407C4">
        <w:rPr>
          <w:rFonts w:ascii="Times New Roman" w:hAnsi="Times New Roman" w:cs="Times New Roman"/>
          <w:sz w:val="24"/>
          <w:szCs w:val="24"/>
        </w:rPr>
        <w:t>PFA</w:t>
      </w:r>
      <w:r w:rsidR="00712BC1">
        <w:rPr>
          <w:rFonts w:ascii="Times New Roman" w:hAnsi="Times New Roman" w:cs="Times New Roman"/>
          <w:sz w:val="24"/>
          <w:szCs w:val="24"/>
        </w:rPr>
        <w:t>)</w:t>
      </w:r>
      <w:r w:rsidR="00C73E95" w:rsidRPr="00F407C4">
        <w:rPr>
          <w:rFonts w:ascii="Times New Roman" w:hAnsi="Times New Roman" w:cs="Times New Roman"/>
          <w:sz w:val="24"/>
          <w:szCs w:val="24"/>
        </w:rPr>
        <w:t xml:space="preserve"> is expected to adopt a risk management profile in making investment decisions with due regard to the credit rating of companies registered under the investment and Securities Acts of 1999. PFA was expected to appoint risk management and investment strategy committees. The risk management committee determines the risk profile of investment portfolio and ensures adequate internal control measures and procedures. The investment strategy committee determines the </w:t>
      </w:r>
      <w:r w:rsidR="00C73E95" w:rsidRPr="00F407C4">
        <w:rPr>
          <w:rFonts w:ascii="Times New Roman" w:hAnsi="Times New Roman" w:cs="Times New Roman"/>
          <w:sz w:val="24"/>
          <w:szCs w:val="24"/>
        </w:rPr>
        <w:lastRenderedPageBreak/>
        <w:t>portfolio mix consistent with the risk profile, evaluate and review the performance of investment on periodic basis</w:t>
      </w:r>
      <w:r w:rsidR="00C73E95" w:rsidRPr="00F407C4">
        <w:rPr>
          <w:rStyle w:val="FootnoteReference"/>
          <w:rFonts w:ascii="Times New Roman" w:hAnsi="Times New Roman" w:cs="Times New Roman"/>
          <w:sz w:val="24"/>
          <w:szCs w:val="24"/>
        </w:rPr>
        <w:footnoteReference w:id="5"/>
      </w:r>
      <w:r w:rsidR="00C73E95" w:rsidRPr="00F407C4">
        <w:rPr>
          <w:rFonts w:ascii="Times New Roman" w:hAnsi="Times New Roman" w:cs="Times New Roman"/>
          <w:sz w:val="24"/>
          <w:szCs w:val="24"/>
        </w:rPr>
        <w:t xml:space="preserve">.  </w:t>
      </w:r>
    </w:p>
    <w:p w:rsidR="00C73E95" w:rsidRPr="00F407C4" w:rsidRDefault="00C73E95" w:rsidP="00C73E95">
      <w:pPr>
        <w:spacing w:line="360" w:lineRule="auto"/>
        <w:jc w:val="both"/>
        <w:rPr>
          <w:rFonts w:ascii="Times New Roman" w:hAnsi="Times New Roman" w:cs="Times New Roman"/>
          <w:sz w:val="24"/>
          <w:szCs w:val="24"/>
        </w:rPr>
      </w:pPr>
      <w:r w:rsidRPr="00F407C4">
        <w:rPr>
          <w:rFonts w:ascii="Times New Roman" w:hAnsi="Times New Roman" w:cs="Times New Roman"/>
          <w:sz w:val="24"/>
          <w:szCs w:val="24"/>
        </w:rPr>
        <w:t xml:space="preserve">Against the guaranteed structure, the PFA is to invest in the any of the following as specified by Section 86: </w:t>
      </w:r>
    </w:p>
    <w:p w:rsidR="00C73E95" w:rsidRPr="00EC5BCE" w:rsidRDefault="00C73E95" w:rsidP="00C73E95">
      <w:pPr>
        <w:spacing w:after="0" w:line="240" w:lineRule="auto"/>
        <w:ind w:left="1440"/>
        <w:jc w:val="both"/>
        <w:rPr>
          <w:rFonts w:ascii="Times New Roman" w:hAnsi="Times New Roman" w:cs="Times New Roman"/>
        </w:rPr>
      </w:pPr>
      <w:r w:rsidRPr="00EC5BCE">
        <w:rPr>
          <w:rFonts w:ascii="Times New Roman" w:hAnsi="Times New Roman" w:cs="Times New Roman"/>
        </w:rPr>
        <w:t xml:space="preserve">(a) Bonds, bills and the securities issued or guaranteed by Federal Government or the Central Bank of Nigeria </w:t>
      </w:r>
    </w:p>
    <w:p w:rsidR="00C73E95" w:rsidRPr="00EC5BCE" w:rsidRDefault="00C73E95" w:rsidP="00C73E95">
      <w:pPr>
        <w:spacing w:after="0" w:line="240" w:lineRule="auto"/>
        <w:ind w:left="1440"/>
        <w:jc w:val="both"/>
        <w:rPr>
          <w:rFonts w:ascii="Times New Roman" w:hAnsi="Times New Roman" w:cs="Times New Roman"/>
        </w:rPr>
      </w:pPr>
      <w:r w:rsidRPr="00EC5BCE">
        <w:rPr>
          <w:rFonts w:ascii="Times New Roman" w:hAnsi="Times New Roman" w:cs="Times New Roman"/>
        </w:rPr>
        <w:t xml:space="preserve">(b) Bonds, bills and other securities issued by states and local government </w:t>
      </w:r>
    </w:p>
    <w:p w:rsidR="00C73E95" w:rsidRPr="00EC5BCE" w:rsidRDefault="00C73E95" w:rsidP="00C73E95">
      <w:pPr>
        <w:spacing w:after="0" w:line="240" w:lineRule="auto"/>
        <w:ind w:left="1440"/>
        <w:jc w:val="both"/>
        <w:rPr>
          <w:rFonts w:ascii="Times New Roman" w:hAnsi="Times New Roman" w:cs="Times New Roman"/>
        </w:rPr>
      </w:pPr>
      <w:r w:rsidRPr="00EC5BCE">
        <w:rPr>
          <w:rFonts w:ascii="Times New Roman" w:hAnsi="Times New Roman" w:cs="Times New Roman"/>
        </w:rPr>
        <w:t>(c) bonds, debenture, redeemable preference shares and other debt instruments issued by listed corporate entities and listed on a stock Exchange registered under the investment and Securities Act</w:t>
      </w:r>
    </w:p>
    <w:p w:rsidR="00C73E95" w:rsidRPr="00EC5BCE" w:rsidRDefault="00C73E95" w:rsidP="00C73E95">
      <w:pPr>
        <w:spacing w:after="0" w:line="240" w:lineRule="auto"/>
        <w:ind w:left="1440"/>
        <w:jc w:val="both"/>
        <w:rPr>
          <w:rFonts w:ascii="Times New Roman" w:hAnsi="Times New Roman" w:cs="Times New Roman"/>
        </w:rPr>
      </w:pPr>
      <w:r w:rsidRPr="00EC5BCE">
        <w:rPr>
          <w:rFonts w:ascii="Times New Roman" w:hAnsi="Times New Roman" w:cs="Times New Roman"/>
        </w:rPr>
        <w:t>(d) Ordinary shares of public limited companies listed on a securities exchange registered under the investment and Securities Act</w:t>
      </w:r>
    </w:p>
    <w:p w:rsidR="00C73E95" w:rsidRPr="00EC5BCE" w:rsidRDefault="00C73E95" w:rsidP="00C73E95">
      <w:pPr>
        <w:spacing w:after="0" w:line="240" w:lineRule="auto"/>
        <w:ind w:left="720" w:firstLine="720"/>
        <w:jc w:val="both"/>
        <w:rPr>
          <w:rFonts w:ascii="Times New Roman" w:hAnsi="Times New Roman" w:cs="Times New Roman"/>
        </w:rPr>
      </w:pPr>
      <w:r w:rsidRPr="00EC5BCE">
        <w:rPr>
          <w:rFonts w:ascii="Times New Roman" w:hAnsi="Times New Roman" w:cs="Times New Roman"/>
        </w:rPr>
        <w:t xml:space="preserve">(e) Bank deposits and securities </w:t>
      </w:r>
    </w:p>
    <w:p w:rsidR="00C73E95" w:rsidRPr="00EC5BCE" w:rsidRDefault="00C73E95" w:rsidP="00C73E95">
      <w:pPr>
        <w:spacing w:after="0" w:line="240" w:lineRule="auto"/>
        <w:ind w:left="1440"/>
        <w:jc w:val="both"/>
        <w:rPr>
          <w:rFonts w:ascii="Times New Roman" w:hAnsi="Times New Roman" w:cs="Times New Roman"/>
        </w:rPr>
      </w:pPr>
      <w:r w:rsidRPr="00EC5BCE">
        <w:rPr>
          <w:rFonts w:ascii="Times New Roman" w:hAnsi="Times New Roman" w:cs="Times New Roman"/>
        </w:rPr>
        <w:t>(f) Investment certificates of closed-end investment fund or hybrid investment fund listed on a securities exchange registered under the investment and Securities Act</w:t>
      </w:r>
    </w:p>
    <w:p w:rsidR="00C73E95" w:rsidRPr="00EC5BCE" w:rsidRDefault="00C73E95" w:rsidP="00C73E95">
      <w:pPr>
        <w:spacing w:after="0" w:line="240" w:lineRule="auto"/>
        <w:ind w:left="1440"/>
        <w:jc w:val="both"/>
        <w:rPr>
          <w:rFonts w:ascii="Times New Roman" w:hAnsi="Times New Roman" w:cs="Times New Roman"/>
        </w:rPr>
      </w:pPr>
      <w:r w:rsidRPr="00EC5BCE">
        <w:rPr>
          <w:rFonts w:ascii="Times New Roman" w:hAnsi="Times New Roman" w:cs="Times New Roman"/>
        </w:rPr>
        <w:t>(g) units sold by open-end investment funds or specialist open-end investment funds registered under the investment and securities act</w:t>
      </w:r>
    </w:p>
    <w:p w:rsidR="00C73E95" w:rsidRPr="00EC5BCE" w:rsidRDefault="00C73E95" w:rsidP="00C73E95">
      <w:pPr>
        <w:spacing w:after="0" w:line="240" w:lineRule="auto"/>
        <w:ind w:left="720" w:firstLine="720"/>
        <w:jc w:val="both"/>
        <w:rPr>
          <w:rFonts w:ascii="Times New Roman" w:hAnsi="Times New Roman" w:cs="Times New Roman"/>
        </w:rPr>
      </w:pPr>
      <w:r w:rsidRPr="00EC5BCE">
        <w:rPr>
          <w:rFonts w:ascii="Times New Roman" w:hAnsi="Times New Roman" w:cs="Times New Roman"/>
        </w:rPr>
        <w:t>(h) Real estate investment</w:t>
      </w:r>
    </w:p>
    <w:p w:rsidR="00C73E95" w:rsidRPr="00EC5BCE" w:rsidRDefault="00C73E95" w:rsidP="00C73E95">
      <w:pPr>
        <w:spacing w:after="0" w:line="240" w:lineRule="auto"/>
        <w:ind w:left="720" w:firstLine="720"/>
        <w:jc w:val="both"/>
        <w:rPr>
          <w:rFonts w:ascii="Times New Roman" w:hAnsi="Times New Roman" w:cs="Times New Roman"/>
        </w:rPr>
      </w:pPr>
      <w:r w:rsidRPr="00EC5BCE">
        <w:rPr>
          <w:rFonts w:ascii="Times New Roman" w:hAnsi="Times New Roman" w:cs="Times New Roman"/>
        </w:rPr>
        <w:t>( i) Other investments prescribed by the pension commission.</w:t>
      </w:r>
    </w:p>
    <w:p w:rsidR="00C73E95" w:rsidRPr="00F407C4" w:rsidRDefault="00C73E95" w:rsidP="00C73E95">
      <w:pPr>
        <w:spacing w:after="0" w:line="240" w:lineRule="auto"/>
        <w:ind w:left="720" w:firstLine="720"/>
        <w:jc w:val="both"/>
        <w:rPr>
          <w:rFonts w:ascii="Times New Roman" w:hAnsi="Times New Roman" w:cs="Times New Roman"/>
          <w:sz w:val="24"/>
          <w:szCs w:val="24"/>
        </w:rPr>
      </w:pPr>
      <w:r w:rsidRPr="00F407C4">
        <w:rPr>
          <w:rFonts w:ascii="Times New Roman" w:hAnsi="Times New Roman" w:cs="Times New Roman"/>
          <w:sz w:val="24"/>
          <w:szCs w:val="24"/>
        </w:rPr>
        <w:t xml:space="preserve"> </w:t>
      </w:r>
    </w:p>
    <w:p w:rsidR="00C73E95" w:rsidRDefault="00C73E95" w:rsidP="00F407C4">
      <w:pPr>
        <w:spacing w:line="360" w:lineRule="auto"/>
        <w:jc w:val="both"/>
        <w:rPr>
          <w:rFonts w:ascii="Times New Roman" w:hAnsi="Times New Roman" w:cs="Times New Roman"/>
          <w:sz w:val="24"/>
          <w:szCs w:val="24"/>
        </w:rPr>
      </w:pPr>
      <w:r w:rsidRPr="00F407C4">
        <w:rPr>
          <w:rFonts w:ascii="Times New Roman" w:hAnsi="Times New Roman" w:cs="Times New Roman"/>
          <w:sz w:val="24"/>
          <w:szCs w:val="24"/>
        </w:rPr>
        <w:t>Section 87 further provides that PFA may invest the pension funds in units of any investment outside Nigeria within the categories of investment set out in Section 86</w:t>
      </w:r>
      <w:r>
        <w:rPr>
          <w:rFonts w:ascii="Times New Roman" w:hAnsi="Times New Roman" w:cs="Times New Roman"/>
          <w:sz w:val="24"/>
          <w:szCs w:val="24"/>
        </w:rPr>
        <w:t xml:space="preserve">. </w:t>
      </w:r>
      <w:r w:rsidRPr="00F407C4">
        <w:rPr>
          <w:rFonts w:ascii="Times New Roman" w:hAnsi="Times New Roman" w:cs="Times New Roman"/>
          <w:sz w:val="24"/>
          <w:szCs w:val="24"/>
        </w:rPr>
        <w:t>However, the PFA shall not invest pension fund or asset in shares or other securities issued by</w:t>
      </w:r>
      <w:r w:rsidRPr="00F407C4">
        <w:rPr>
          <w:rStyle w:val="FootnoteReference"/>
          <w:rFonts w:ascii="Times New Roman" w:hAnsi="Times New Roman" w:cs="Times New Roman"/>
          <w:sz w:val="24"/>
          <w:szCs w:val="24"/>
        </w:rPr>
        <w:footnoteReference w:id="6"/>
      </w:r>
      <w:r w:rsidR="00EC5BCE">
        <w:rPr>
          <w:rFonts w:ascii="Times New Roman" w:hAnsi="Times New Roman" w:cs="Times New Roman"/>
          <w:sz w:val="24"/>
          <w:szCs w:val="24"/>
        </w:rPr>
        <w:t xml:space="preserve"> </w:t>
      </w:r>
      <w:r w:rsidRPr="00EC5BCE">
        <w:rPr>
          <w:rFonts w:ascii="Times New Roman" w:hAnsi="Times New Roman" w:cs="Times New Roman"/>
          <w:sz w:val="24"/>
          <w:szCs w:val="24"/>
        </w:rPr>
        <w:t>the PFA or PFC</w:t>
      </w:r>
      <w:r w:rsidR="00EC5BCE">
        <w:rPr>
          <w:rFonts w:ascii="Times New Roman" w:hAnsi="Times New Roman" w:cs="Times New Roman"/>
          <w:sz w:val="24"/>
          <w:szCs w:val="24"/>
        </w:rPr>
        <w:t xml:space="preserve">, </w:t>
      </w:r>
      <w:r w:rsidRPr="00EC5BCE">
        <w:rPr>
          <w:rFonts w:ascii="Times New Roman" w:hAnsi="Times New Roman" w:cs="Times New Roman"/>
          <w:sz w:val="24"/>
          <w:szCs w:val="24"/>
        </w:rPr>
        <w:t>a shareholder of PFA or PFC</w:t>
      </w:r>
      <w:r w:rsidR="00EC5BCE">
        <w:rPr>
          <w:rFonts w:ascii="Times New Roman" w:hAnsi="Times New Roman" w:cs="Times New Roman"/>
          <w:sz w:val="24"/>
          <w:szCs w:val="24"/>
        </w:rPr>
        <w:t xml:space="preserve">. </w:t>
      </w:r>
      <w:r w:rsidRPr="00F407C4">
        <w:rPr>
          <w:rFonts w:ascii="Times New Roman" w:hAnsi="Times New Roman" w:cs="Times New Roman"/>
          <w:sz w:val="24"/>
          <w:szCs w:val="24"/>
        </w:rPr>
        <w:t>Also, the Act further provides</w:t>
      </w:r>
      <w:r w:rsidRPr="00F407C4">
        <w:rPr>
          <w:rStyle w:val="FootnoteReference"/>
          <w:rFonts w:ascii="Times New Roman" w:hAnsi="Times New Roman" w:cs="Times New Roman"/>
          <w:sz w:val="24"/>
          <w:szCs w:val="24"/>
        </w:rPr>
        <w:footnoteReference w:id="7"/>
      </w:r>
      <w:r w:rsidRPr="00F407C4">
        <w:rPr>
          <w:rFonts w:ascii="Times New Roman" w:hAnsi="Times New Roman" w:cs="Times New Roman"/>
          <w:sz w:val="24"/>
          <w:szCs w:val="24"/>
        </w:rPr>
        <w:t xml:space="preserve"> that PFA shall not</w:t>
      </w:r>
      <w:r w:rsidR="00EC5BCE">
        <w:rPr>
          <w:rFonts w:ascii="Times New Roman" w:hAnsi="Times New Roman" w:cs="Times New Roman"/>
          <w:sz w:val="24"/>
          <w:szCs w:val="24"/>
        </w:rPr>
        <w:t xml:space="preserve"> sell</w:t>
      </w:r>
      <w:r w:rsidRPr="00F407C4">
        <w:rPr>
          <w:rFonts w:ascii="Times New Roman" w:hAnsi="Times New Roman" w:cs="Times New Roman"/>
          <w:sz w:val="24"/>
          <w:szCs w:val="24"/>
        </w:rPr>
        <w:t xml:space="preserve"> pension fund assets to</w:t>
      </w:r>
      <w:r w:rsidR="00EC5BCE">
        <w:rPr>
          <w:rFonts w:ascii="Times New Roman" w:hAnsi="Times New Roman" w:cs="Times New Roman"/>
          <w:sz w:val="24"/>
          <w:szCs w:val="24"/>
        </w:rPr>
        <w:t xml:space="preserve"> </w:t>
      </w:r>
      <w:r w:rsidRPr="00F407C4">
        <w:rPr>
          <w:rFonts w:ascii="Times New Roman" w:hAnsi="Times New Roman" w:cs="Times New Roman"/>
          <w:sz w:val="24"/>
          <w:szCs w:val="24"/>
        </w:rPr>
        <w:t>itself</w:t>
      </w:r>
      <w:r w:rsidR="00EC5BCE">
        <w:rPr>
          <w:rFonts w:ascii="Times New Roman" w:hAnsi="Times New Roman" w:cs="Times New Roman"/>
          <w:sz w:val="24"/>
          <w:szCs w:val="24"/>
        </w:rPr>
        <w:t>, a</w:t>
      </w:r>
      <w:r w:rsidRPr="00F407C4">
        <w:rPr>
          <w:rFonts w:ascii="Times New Roman" w:hAnsi="Times New Roman" w:cs="Times New Roman"/>
          <w:sz w:val="24"/>
          <w:szCs w:val="24"/>
        </w:rPr>
        <w:t>ny shareholder, director, affiliate, subsidiary, associate, related party or</w:t>
      </w:r>
      <w:r w:rsidR="00EC5BCE">
        <w:rPr>
          <w:rFonts w:ascii="Times New Roman" w:hAnsi="Times New Roman" w:cs="Times New Roman"/>
          <w:sz w:val="24"/>
          <w:szCs w:val="24"/>
        </w:rPr>
        <w:t xml:space="preserve"> </w:t>
      </w:r>
      <w:r w:rsidRPr="00F407C4">
        <w:rPr>
          <w:rFonts w:ascii="Times New Roman" w:hAnsi="Times New Roman" w:cs="Times New Roman"/>
          <w:sz w:val="24"/>
          <w:szCs w:val="24"/>
        </w:rPr>
        <w:t>company of the PFA</w:t>
      </w:r>
      <w:r w:rsidR="00EC5BCE">
        <w:rPr>
          <w:rFonts w:ascii="Times New Roman" w:hAnsi="Times New Roman" w:cs="Times New Roman"/>
          <w:sz w:val="24"/>
          <w:szCs w:val="24"/>
        </w:rPr>
        <w:t>, a</w:t>
      </w:r>
      <w:r w:rsidRPr="00F407C4">
        <w:rPr>
          <w:rFonts w:ascii="Times New Roman" w:hAnsi="Times New Roman" w:cs="Times New Roman"/>
          <w:sz w:val="24"/>
          <w:szCs w:val="24"/>
        </w:rPr>
        <w:t>ny employee of the PFA</w:t>
      </w:r>
      <w:r w:rsidR="00EC5BCE">
        <w:rPr>
          <w:rFonts w:ascii="Times New Roman" w:hAnsi="Times New Roman" w:cs="Times New Roman"/>
          <w:sz w:val="24"/>
          <w:szCs w:val="24"/>
        </w:rPr>
        <w:t>, t</w:t>
      </w:r>
      <w:r w:rsidRPr="00F407C4">
        <w:rPr>
          <w:rFonts w:ascii="Times New Roman" w:hAnsi="Times New Roman" w:cs="Times New Roman"/>
          <w:sz w:val="24"/>
          <w:szCs w:val="24"/>
        </w:rPr>
        <w:t>he spouse of any of the persons mentioned above</w:t>
      </w:r>
      <w:r w:rsidR="00EC5BCE">
        <w:rPr>
          <w:rFonts w:ascii="Times New Roman" w:hAnsi="Times New Roman" w:cs="Times New Roman"/>
          <w:sz w:val="24"/>
          <w:szCs w:val="24"/>
        </w:rPr>
        <w:t>,</w:t>
      </w:r>
      <w:r w:rsidRPr="00F407C4">
        <w:rPr>
          <w:rFonts w:ascii="Times New Roman" w:hAnsi="Times New Roman" w:cs="Times New Roman"/>
          <w:sz w:val="24"/>
          <w:szCs w:val="24"/>
        </w:rPr>
        <w:t xml:space="preserve"> affiliates of any shareholder of the PFA or</w:t>
      </w:r>
      <w:r w:rsidR="00EC5BCE">
        <w:rPr>
          <w:rFonts w:ascii="Times New Roman" w:hAnsi="Times New Roman" w:cs="Times New Roman"/>
          <w:sz w:val="24"/>
          <w:szCs w:val="24"/>
        </w:rPr>
        <w:t>, t</w:t>
      </w:r>
      <w:r w:rsidRPr="00F407C4">
        <w:rPr>
          <w:rFonts w:ascii="Times New Roman" w:hAnsi="Times New Roman" w:cs="Times New Roman"/>
          <w:sz w:val="24"/>
          <w:szCs w:val="24"/>
        </w:rPr>
        <w:t>he PFC holding pension fund asset to the orde</w:t>
      </w:r>
      <w:r w:rsidR="00EC5BCE">
        <w:rPr>
          <w:rFonts w:ascii="Times New Roman" w:hAnsi="Times New Roman" w:cs="Times New Roman"/>
          <w:sz w:val="24"/>
          <w:szCs w:val="24"/>
        </w:rPr>
        <w:t xml:space="preserve">r of the PFA and any related </w:t>
      </w:r>
      <w:r w:rsidRPr="00F407C4">
        <w:rPr>
          <w:rFonts w:ascii="Times New Roman" w:hAnsi="Times New Roman" w:cs="Times New Roman"/>
          <w:sz w:val="24"/>
          <w:szCs w:val="24"/>
        </w:rPr>
        <w:t>party to the PFC</w:t>
      </w:r>
      <w:r w:rsidR="00EC5BCE">
        <w:rPr>
          <w:rFonts w:ascii="Times New Roman" w:hAnsi="Times New Roman" w:cs="Times New Roman"/>
          <w:sz w:val="24"/>
          <w:szCs w:val="24"/>
        </w:rPr>
        <w:t xml:space="preserve">, </w:t>
      </w:r>
      <w:r w:rsidRPr="00F407C4">
        <w:rPr>
          <w:rFonts w:ascii="Times New Roman" w:hAnsi="Times New Roman" w:cs="Times New Roman"/>
          <w:sz w:val="24"/>
          <w:szCs w:val="24"/>
        </w:rPr>
        <w:t>utilize pension fund to purchase assets from the persons mentioned in subsection (a) of this section and apply pension fund assets under its management by way of loans and credits or as collateral for any loan taken by a holder of retirements savings account or any person whatsoever.</w:t>
      </w:r>
    </w:p>
    <w:p w:rsidR="007D5ECF" w:rsidRPr="00F407C4" w:rsidRDefault="00662573" w:rsidP="007D5ECF">
      <w:pPr>
        <w:spacing w:line="360" w:lineRule="auto"/>
        <w:jc w:val="both"/>
        <w:rPr>
          <w:rFonts w:ascii="Times New Roman" w:hAnsi="Times New Roman" w:cs="Times New Roman"/>
          <w:b/>
          <w:sz w:val="24"/>
          <w:szCs w:val="24"/>
        </w:rPr>
      </w:pPr>
      <w:r>
        <w:rPr>
          <w:rFonts w:ascii="Times New Roman" w:hAnsi="Times New Roman" w:cs="Times New Roman"/>
          <w:b/>
          <w:sz w:val="24"/>
          <w:szCs w:val="24"/>
        </w:rPr>
        <w:t>3</w:t>
      </w:r>
      <w:r w:rsidR="007D5ECF" w:rsidRPr="00F407C4">
        <w:rPr>
          <w:rFonts w:ascii="Times New Roman" w:hAnsi="Times New Roman" w:cs="Times New Roman"/>
          <w:b/>
          <w:sz w:val="24"/>
          <w:szCs w:val="24"/>
        </w:rPr>
        <w:t xml:space="preserve">. </w:t>
      </w:r>
      <w:r w:rsidR="008377D2">
        <w:rPr>
          <w:rFonts w:ascii="Times New Roman" w:hAnsi="Times New Roman" w:cs="Times New Roman"/>
          <w:b/>
          <w:sz w:val="24"/>
          <w:szCs w:val="24"/>
        </w:rPr>
        <w:t>Islamic Law Perspective on</w:t>
      </w:r>
      <w:r w:rsidR="007D5ECF">
        <w:rPr>
          <w:rFonts w:ascii="Times New Roman" w:hAnsi="Times New Roman" w:cs="Times New Roman"/>
          <w:b/>
          <w:sz w:val="24"/>
          <w:szCs w:val="24"/>
        </w:rPr>
        <w:t xml:space="preserve"> </w:t>
      </w:r>
      <w:r w:rsidR="007D5ECF" w:rsidRPr="00F407C4">
        <w:rPr>
          <w:rFonts w:ascii="Times New Roman" w:hAnsi="Times New Roman" w:cs="Times New Roman"/>
          <w:b/>
          <w:sz w:val="24"/>
          <w:szCs w:val="24"/>
        </w:rPr>
        <w:t xml:space="preserve">Pension Funds </w:t>
      </w:r>
    </w:p>
    <w:p w:rsidR="007D5ECF" w:rsidRPr="00F407C4" w:rsidRDefault="007D5ECF" w:rsidP="007D5ECF">
      <w:pPr>
        <w:spacing w:line="360" w:lineRule="auto"/>
        <w:jc w:val="both"/>
        <w:rPr>
          <w:rFonts w:ascii="Times New Roman" w:hAnsi="Times New Roman" w:cs="Times New Roman"/>
          <w:sz w:val="24"/>
          <w:szCs w:val="24"/>
        </w:rPr>
      </w:pPr>
      <w:r w:rsidRPr="00F407C4">
        <w:rPr>
          <w:rFonts w:ascii="Times New Roman" w:hAnsi="Times New Roman" w:cs="Times New Roman"/>
          <w:sz w:val="24"/>
          <w:szCs w:val="24"/>
        </w:rPr>
        <w:lastRenderedPageBreak/>
        <w:t xml:space="preserve">Pension funds are the funds pooled together through periodic </w:t>
      </w:r>
      <w:r w:rsidR="00AD5321">
        <w:rPr>
          <w:rFonts w:ascii="Times New Roman" w:hAnsi="Times New Roman" w:cs="Times New Roman"/>
          <w:sz w:val="24"/>
          <w:szCs w:val="24"/>
        </w:rPr>
        <w:t xml:space="preserve">and continuous contributions by </w:t>
      </w:r>
      <w:r w:rsidRPr="00F407C4">
        <w:rPr>
          <w:rFonts w:ascii="Times New Roman" w:hAnsi="Times New Roman" w:cs="Times New Roman"/>
          <w:sz w:val="24"/>
          <w:szCs w:val="24"/>
        </w:rPr>
        <w:t>the contributors i.e. employees into their respective pension accounts.</w:t>
      </w:r>
      <w:r w:rsidRPr="00F407C4">
        <w:rPr>
          <w:rStyle w:val="FootnoteReference"/>
          <w:rFonts w:ascii="Times New Roman" w:hAnsi="Times New Roman" w:cs="Times New Roman"/>
          <w:sz w:val="24"/>
          <w:szCs w:val="24"/>
        </w:rPr>
        <w:footnoteReference w:id="8"/>
      </w:r>
      <w:r w:rsidRPr="00F407C4">
        <w:rPr>
          <w:rFonts w:ascii="Times New Roman" w:hAnsi="Times New Roman" w:cs="Times New Roman"/>
          <w:sz w:val="24"/>
          <w:szCs w:val="24"/>
        </w:rPr>
        <w:t xml:space="preserve"> The accumulation of all monies contributed by the employees within a given period of time is called pension funds. The law imposes on the custodians of the funds to manage them judiciously on behalf of the contributors.</w:t>
      </w:r>
      <w:r w:rsidRPr="00F407C4">
        <w:rPr>
          <w:rStyle w:val="FootnoteReference"/>
          <w:rFonts w:ascii="Times New Roman" w:hAnsi="Times New Roman" w:cs="Times New Roman"/>
          <w:sz w:val="24"/>
          <w:szCs w:val="24"/>
        </w:rPr>
        <w:footnoteReference w:id="9"/>
      </w:r>
      <w:r w:rsidRPr="00F407C4">
        <w:rPr>
          <w:rFonts w:ascii="Times New Roman" w:hAnsi="Times New Roman" w:cs="Times New Roman"/>
          <w:sz w:val="24"/>
          <w:szCs w:val="24"/>
        </w:rPr>
        <w:t xml:space="preserve"> This includes investing with the funds while profits made after a particular business adventure are distributed to the employees on pro rata. It is noted that the essence of pooling the funds is to cater for the individual employees when they retire from active service. The position of Islamic law on pension fund is sanctioned under the need to work towards attainment of objective of Shari’ah in terms of protection of life and property.</w:t>
      </w:r>
      <w:r w:rsidRPr="00F407C4">
        <w:rPr>
          <w:rStyle w:val="FootnoteReference"/>
          <w:rFonts w:ascii="Times New Roman" w:hAnsi="Times New Roman" w:cs="Times New Roman"/>
          <w:sz w:val="24"/>
          <w:szCs w:val="24"/>
        </w:rPr>
        <w:footnoteReference w:id="10"/>
      </w:r>
      <w:r w:rsidRPr="00F407C4">
        <w:rPr>
          <w:rFonts w:ascii="Times New Roman" w:hAnsi="Times New Roman" w:cs="Times New Roman"/>
          <w:sz w:val="24"/>
          <w:szCs w:val="24"/>
        </w:rPr>
        <w:t xml:space="preserve"> Shari’ah abhors wasteful spending and advocates judicious savings and prudent spending.</w:t>
      </w:r>
    </w:p>
    <w:p w:rsidR="007D5ECF" w:rsidRPr="00F407C4" w:rsidRDefault="007D5ECF" w:rsidP="007D5ECF">
      <w:pPr>
        <w:spacing w:line="360" w:lineRule="auto"/>
        <w:jc w:val="both"/>
        <w:rPr>
          <w:rFonts w:ascii="Times New Roman" w:hAnsi="Times New Roman" w:cs="Times New Roman"/>
          <w:sz w:val="24"/>
          <w:szCs w:val="24"/>
        </w:rPr>
      </w:pPr>
      <w:r w:rsidRPr="00F407C4">
        <w:rPr>
          <w:rFonts w:ascii="Times New Roman" w:hAnsi="Times New Roman" w:cs="Times New Roman"/>
          <w:sz w:val="24"/>
          <w:szCs w:val="24"/>
        </w:rPr>
        <w:t xml:space="preserve">The idea of subjecting pension funds to investment enjoys nod under Islamic law. Islamic law sanctions responsible investments and businesses but forbids </w:t>
      </w:r>
      <w:r w:rsidRPr="00F407C4">
        <w:rPr>
          <w:rFonts w:ascii="Times New Roman" w:hAnsi="Times New Roman" w:cs="Times New Roman"/>
          <w:i/>
          <w:sz w:val="24"/>
          <w:szCs w:val="24"/>
        </w:rPr>
        <w:t>riba</w:t>
      </w:r>
      <w:r w:rsidRPr="00F407C4">
        <w:rPr>
          <w:rFonts w:ascii="Times New Roman" w:hAnsi="Times New Roman" w:cs="Times New Roman"/>
          <w:sz w:val="24"/>
          <w:szCs w:val="24"/>
        </w:rPr>
        <w:t xml:space="preserve"> (usury). Shari’ah ordains that in the event of investment with pension funds, Islamic principles of investment must be observed. Hence, prohibited elements such as</w:t>
      </w:r>
      <w:r w:rsidRPr="00F407C4">
        <w:rPr>
          <w:rFonts w:ascii="Times New Roman" w:hAnsi="Times New Roman" w:cs="Times New Roman"/>
          <w:i/>
          <w:sz w:val="24"/>
          <w:szCs w:val="24"/>
        </w:rPr>
        <w:t xml:space="preserve"> riba, gharar, maisir</w:t>
      </w:r>
      <w:r w:rsidRPr="00F407C4">
        <w:rPr>
          <w:rFonts w:ascii="Times New Roman" w:hAnsi="Times New Roman" w:cs="Times New Roman"/>
          <w:sz w:val="24"/>
          <w:szCs w:val="24"/>
        </w:rPr>
        <w:t xml:space="preserve"> etc are to be avoided completely.</w:t>
      </w:r>
    </w:p>
    <w:p w:rsidR="007D5ECF" w:rsidRPr="00F407C4" w:rsidRDefault="007D5ECF" w:rsidP="007D5ECF">
      <w:pPr>
        <w:spacing w:line="360" w:lineRule="auto"/>
        <w:jc w:val="both"/>
        <w:rPr>
          <w:rFonts w:ascii="Times New Roman" w:hAnsi="Times New Roman" w:cs="Times New Roman"/>
          <w:sz w:val="24"/>
          <w:szCs w:val="24"/>
        </w:rPr>
      </w:pPr>
      <w:r w:rsidRPr="00F407C4">
        <w:rPr>
          <w:rFonts w:ascii="Times New Roman" w:hAnsi="Times New Roman" w:cs="Times New Roman"/>
          <w:sz w:val="24"/>
          <w:szCs w:val="24"/>
        </w:rPr>
        <w:t>The pension administrators are perceived as the trustees under Shari’ah and should observe all the requisite rules of Amana (Trust) within the tenet of Shari’ah.</w:t>
      </w:r>
      <w:r w:rsidRPr="00F407C4">
        <w:rPr>
          <w:rStyle w:val="FootnoteReference"/>
          <w:rFonts w:ascii="Times New Roman" w:hAnsi="Times New Roman" w:cs="Times New Roman"/>
          <w:sz w:val="24"/>
          <w:szCs w:val="24"/>
        </w:rPr>
        <w:footnoteReference w:id="11"/>
      </w:r>
      <w:r w:rsidRPr="00F407C4">
        <w:rPr>
          <w:rFonts w:ascii="Times New Roman" w:hAnsi="Times New Roman" w:cs="Times New Roman"/>
          <w:sz w:val="24"/>
          <w:szCs w:val="24"/>
        </w:rPr>
        <w:t xml:space="preserve"> It is thus expected that funds which are considered as the wealth of the contributors should be given to them on the due date without any delay. This is deducible from the admonition of the Prophet (PBUH) that payment of wages to labourers should be done before their sweat dry off.</w:t>
      </w:r>
    </w:p>
    <w:p w:rsidR="007D5ECF" w:rsidRPr="00F407C4" w:rsidRDefault="007D5ECF" w:rsidP="007D5ECF">
      <w:pPr>
        <w:spacing w:line="360" w:lineRule="auto"/>
        <w:jc w:val="both"/>
        <w:rPr>
          <w:rFonts w:ascii="Times New Roman" w:hAnsi="Times New Roman" w:cs="Times New Roman"/>
          <w:sz w:val="24"/>
          <w:szCs w:val="24"/>
        </w:rPr>
      </w:pPr>
      <w:r w:rsidRPr="00F407C4">
        <w:rPr>
          <w:rFonts w:ascii="Times New Roman" w:hAnsi="Times New Roman" w:cs="Times New Roman"/>
          <w:sz w:val="24"/>
          <w:szCs w:val="24"/>
        </w:rPr>
        <w:t>Islamic law perceives pension fund as wealth that must be seriously guarded from being tainted with forbidden elements. Thus, pension funds of Muslims must be free from unlawful utilization or investments as laid down in the Qur’an and Sunnah.</w:t>
      </w:r>
    </w:p>
    <w:p w:rsidR="00716884" w:rsidRPr="00F407C4" w:rsidRDefault="00662573" w:rsidP="00F407C4">
      <w:pPr>
        <w:spacing w:line="360" w:lineRule="auto"/>
        <w:jc w:val="both"/>
        <w:rPr>
          <w:rFonts w:ascii="Times New Roman" w:hAnsi="Times New Roman" w:cs="Times New Roman"/>
          <w:b/>
          <w:sz w:val="24"/>
          <w:szCs w:val="24"/>
        </w:rPr>
      </w:pPr>
      <w:r>
        <w:rPr>
          <w:rFonts w:ascii="Times New Roman" w:hAnsi="Times New Roman" w:cs="Times New Roman"/>
          <w:b/>
          <w:sz w:val="24"/>
          <w:szCs w:val="24"/>
        </w:rPr>
        <w:t>4</w:t>
      </w:r>
      <w:r w:rsidR="006B6DCF">
        <w:rPr>
          <w:rFonts w:ascii="Times New Roman" w:hAnsi="Times New Roman" w:cs="Times New Roman"/>
          <w:b/>
          <w:sz w:val="24"/>
          <w:szCs w:val="24"/>
        </w:rPr>
        <w:t xml:space="preserve">. </w:t>
      </w:r>
      <w:r w:rsidR="00716884" w:rsidRPr="00F407C4">
        <w:rPr>
          <w:rFonts w:ascii="Times New Roman" w:hAnsi="Times New Roman" w:cs="Times New Roman"/>
          <w:b/>
          <w:sz w:val="24"/>
          <w:szCs w:val="24"/>
        </w:rPr>
        <w:t>Islamic law view on the Nigerian New Contributory Pension Scheme</w:t>
      </w:r>
    </w:p>
    <w:p w:rsidR="00716884" w:rsidRPr="00F407C4" w:rsidRDefault="00716884" w:rsidP="00F407C4">
      <w:pPr>
        <w:spacing w:line="360" w:lineRule="auto"/>
        <w:jc w:val="both"/>
        <w:rPr>
          <w:rFonts w:ascii="Times New Roman" w:hAnsi="Times New Roman" w:cs="Times New Roman"/>
          <w:sz w:val="24"/>
          <w:szCs w:val="24"/>
        </w:rPr>
      </w:pPr>
      <w:r w:rsidRPr="00F407C4">
        <w:rPr>
          <w:rFonts w:ascii="Times New Roman" w:hAnsi="Times New Roman" w:cs="Times New Roman"/>
          <w:sz w:val="24"/>
          <w:szCs w:val="24"/>
        </w:rPr>
        <w:lastRenderedPageBreak/>
        <w:t>In the quest to cater for the life after service years of Nigerian workers both in the private and public sector, the Nigerian government through the instrumentality of law came up with the idea of contributory pension scheme.</w:t>
      </w:r>
      <w:r w:rsidRPr="00F407C4">
        <w:rPr>
          <w:rStyle w:val="FootnoteReference"/>
          <w:rFonts w:ascii="Times New Roman" w:hAnsi="Times New Roman" w:cs="Times New Roman"/>
          <w:sz w:val="24"/>
          <w:szCs w:val="24"/>
        </w:rPr>
        <w:footnoteReference w:id="12"/>
      </w:r>
      <w:r w:rsidRPr="00F407C4">
        <w:rPr>
          <w:rFonts w:ascii="Times New Roman" w:hAnsi="Times New Roman" w:cs="Times New Roman"/>
          <w:sz w:val="24"/>
          <w:szCs w:val="24"/>
        </w:rPr>
        <w:t xml:space="preserve"> The scheme is implemented during the active service of the employees preparatory for a sustainable after service period.</w:t>
      </w:r>
      <w:r w:rsidRPr="00F407C4">
        <w:rPr>
          <w:rStyle w:val="FootnoteReference"/>
          <w:rFonts w:ascii="Times New Roman" w:hAnsi="Times New Roman" w:cs="Times New Roman"/>
          <w:sz w:val="24"/>
          <w:szCs w:val="24"/>
        </w:rPr>
        <w:footnoteReference w:id="13"/>
      </w:r>
    </w:p>
    <w:p w:rsidR="00716884" w:rsidRPr="00F407C4" w:rsidRDefault="00716884" w:rsidP="00F407C4">
      <w:pPr>
        <w:spacing w:line="360" w:lineRule="auto"/>
        <w:jc w:val="both"/>
        <w:rPr>
          <w:rFonts w:ascii="Times New Roman" w:hAnsi="Times New Roman" w:cs="Times New Roman"/>
          <w:sz w:val="24"/>
          <w:szCs w:val="24"/>
        </w:rPr>
      </w:pPr>
      <w:r w:rsidRPr="00F407C4">
        <w:rPr>
          <w:rFonts w:ascii="Times New Roman" w:hAnsi="Times New Roman" w:cs="Times New Roman"/>
          <w:sz w:val="24"/>
          <w:szCs w:val="24"/>
        </w:rPr>
        <w:t>This thesis examines the Islamic law view of the whole scheme as designed and practised in Nigeria. Before looking at the scheme from Islamic law perspective, it is expedient to briefly examine the new Nigerian contributory pension scheme. The new scheme is governed by the pension reform Act of 2014 which replaces the erstwhile 2004 Pension Reform Act. The objective of the new scheme remains strong and passionate consciousness of the life after active service years by the employees and the need to have a sustainable after service years for them.</w:t>
      </w:r>
      <w:r w:rsidRPr="00F407C4">
        <w:rPr>
          <w:rStyle w:val="FootnoteReference"/>
          <w:rFonts w:ascii="Times New Roman" w:hAnsi="Times New Roman" w:cs="Times New Roman"/>
          <w:sz w:val="24"/>
          <w:szCs w:val="24"/>
        </w:rPr>
        <w:footnoteReference w:id="14"/>
      </w:r>
      <w:r w:rsidRPr="00F407C4">
        <w:rPr>
          <w:rFonts w:ascii="Times New Roman" w:hAnsi="Times New Roman" w:cs="Times New Roman"/>
          <w:sz w:val="24"/>
          <w:szCs w:val="24"/>
        </w:rPr>
        <w:t xml:space="preserve"> Thus, the 2014 Pension Reform Act is applicable to both the private and public sector.</w:t>
      </w:r>
    </w:p>
    <w:p w:rsidR="00716884" w:rsidRPr="00F407C4" w:rsidRDefault="00716884" w:rsidP="00F407C4">
      <w:pPr>
        <w:spacing w:line="360" w:lineRule="auto"/>
        <w:jc w:val="both"/>
        <w:rPr>
          <w:rFonts w:ascii="Times New Roman" w:hAnsi="Times New Roman" w:cs="Times New Roman"/>
          <w:sz w:val="24"/>
          <w:szCs w:val="24"/>
        </w:rPr>
      </w:pPr>
      <w:r w:rsidRPr="00F407C4">
        <w:rPr>
          <w:rFonts w:ascii="Times New Roman" w:hAnsi="Times New Roman" w:cs="Times New Roman"/>
          <w:sz w:val="24"/>
          <w:szCs w:val="24"/>
        </w:rPr>
        <w:t>Within the context of the contributory pension scheme, pension is conceptualized as the monthly contribution in form of savings by both the employees and employers into a pension account held by employee which is accessible at a later period. The idea behind the so called pension scheme is to inculcate the spirit of savings for the future i.e. till maturity or retirement age.</w:t>
      </w:r>
      <w:r w:rsidRPr="00F407C4">
        <w:rPr>
          <w:rStyle w:val="FootnoteReference"/>
          <w:rFonts w:ascii="Times New Roman" w:hAnsi="Times New Roman" w:cs="Times New Roman"/>
          <w:sz w:val="24"/>
          <w:szCs w:val="24"/>
        </w:rPr>
        <w:footnoteReference w:id="15"/>
      </w:r>
      <w:r w:rsidRPr="00F407C4">
        <w:rPr>
          <w:rFonts w:ascii="Times New Roman" w:hAnsi="Times New Roman" w:cs="Times New Roman"/>
          <w:sz w:val="24"/>
          <w:szCs w:val="24"/>
        </w:rPr>
        <w:t xml:space="preserve"> As far as the pension Reform Act, 2014 is concerned, there is no uniformity in the retirement age. The reason being that special </w:t>
      </w:r>
      <w:r w:rsidR="00EC5BCE" w:rsidRPr="00F407C4">
        <w:rPr>
          <w:rFonts w:ascii="Times New Roman" w:hAnsi="Times New Roman" w:cs="Times New Roman"/>
          <w:sz w:val="24"/>
          <w:szCs w:val="24"/>
        </w:rPr>
        <w:t>category of workers enjoys</w:t>
      </w:r>
      <w:r w:rsidRPr="00F407C4">
        <w:rPr>
          <w:rFonts w:ascii="Times New Roman" w:hAnsi="Times New Roman" w:cs="Times New Roman"/>
          <w:sz w:val="24"/>
          <w:szCs w:val="24"/>
        </w:rPr>
        <w:t xml:space="preserve"> longer years in service. A case in point is that of university professors who retire at the age of 70 years while other workers are not professors retire at the age of 65.</w:t>
      </w:r>
      <w:r w:rsidRPr="00F407C4">
        <w:rPr>
          <w:rStyle w:val="FootnoteReference"/>
          <w:rFonts w:ascii="Times New Roman" w:hAnsi="Times New Roman" w:cs="Times New Roman"/>
          <w:sz w:val="24"/>
          <w:szCs w:val="24"/>
        </w:rPr>
        <w:footnoteReference w:id="16"/>
      </w:r>
    </w:p>
    <w:p w:rsidR="00716884" w:rsidRPr="00F407C4" w:rsidRDefault="00716884" w:rsidP="00F407C4">
      <w:pPr>
        <w:spacing w:line="360" w:lineRule="auto"/>
        <w:jc w:val="both"/>
        <w:rPr>
          <w:rFonts w:ascii="Times New Roman" w:hAnsi="Times New Roman" w:cs="Times New Roman"/>
          <w:sz w:val="24"/>
          <w:szCs w:val="24"/>
        </w:rPr>
      </w:pPr>
      <w:r w:rsidRPr="00F407C4">
        <w:rPr>
          <w:rFonts w:ascii="Times New Roman" w:hAnsi="Times New Roman" w:cs="Times New Roman"/>
          <w:sz w:val="24"/>
          <w:szCs w:val="24"/>
        </w:rPr>
        <w:t xml:space="preserve">It is important to note that the new Nigerian contributory pension scheme imposes mandatory participations on employees at the public sector with the exception of the military men and security agencies. The participation in the scheme is mandatory such that the law prescribes institution of criminal proceedings with grave consequences against any defaulting employers who failed to maintain periodic/monthly remittance. </w:t>
      </w:r>
    </w:p>
    <w:p w:rsidR="00716884" w:rsidRPr="00F407C4" w:rsidRDefault="00716884" w:rsidP="00F407C4">
      <w:pPr>
        <w:spacing w:line="360" w:lineRule="auto"/>
        <w:jc w:val="both"/>
        <w:rPr>
          <w:rFonts w:ascii="Times New Roman" w:hAnsi="Times New Roman" w:cs="Times New Roman"/>
          <w:sz w:val="24"/>
          <w:szCs w:val="24"/>
        </w:rPr>
      </w:pPr>
      <w:r w:rsidRPr="00F407C4">
        <w:rPr>
          <w:rFonts w:ascii="Times New Roman" w:hAnsi="Times New Roman" w:cs="Times New Roman"/>
          <w:sz w:val="24"/>
          <w:szCs w:val="24"/>
        </w:rPr>
        <w:lastRenderedPageBreak/>
        <w:t>In the same vein, the law empowers the pension administrators to properly manage the pool of funds realized from the various and recurrent contributions by the employees and employers. Management of the funds includes investing them in profitable ventures that yield certain returns on investment in favour of the contributors. To therefore guide against mismanagement of the pension funds, the law prescribes ten (10) years imprisonment for any pension administrator who is guilty of funds’ mismanagement.</w:t>
      </w:r>
      <w:r w:rsidRPr="00F407C4">
        <w:rPr>
          <w:rStyle w:val="FootnoteReference"/>
          <w:rFonts w:ascii="Times New Roman" w:hAnsi="Times New Roman" w:cs="Times New Roman"/>
          <w:sz w:val="24"/>
          <w:szCs w:val="24"/>
        </w:rPr>
        <w:footnoteReference w:id="17"/>
      </w:r>
    </w:p>
    <w:p w:rsidR="00716884" w:rsidRPr="00F407C4" w:rsidRDefault="00716884" w:rsidP="00F407C4">
      <w:pPr>
        <w:spacing w:line="360" w:lineRule="auto"/>
        <w:jc w:val="both"/>
        <w:rPr>
          <w:rFonts w:ascii="Times New Roman" w:hAnsi="Times New Roman" w:cs="Times New Roman"/>
          <w:sz w:val="24"/>
          <w:szCs w:val="24"/>
        </w:rPr>
      </w:pPr>
      <w:r w:rsidRPr="00F407C4">
        <w:rPr>
          <w:rFonts w:ascii="Times New Roman" w:hAnsi="Times New Roman" w:cs="Times New Roman"/>
          <w:sz w:val="24"/>
          <w:szCs w:val="24"/>
        </w:rPr>
        <w:t>The stakeholders and the participants in the contributory scheme inevitably include Muslims while the new Nigerian contributory pension scheme vide Pension Reform Act, 2014 was designed outside the contemplation of the Islamic law perspective. Hence, it is imperative to examine the Islamic law view on the new contributory pension scheme.</w:t>
      </w:r>
    </w:p>
    <w:p w:rsidR="00716884" w:rsidRPr="00F407C4" w:rsidRDefault="00716884" w:rsidP="00F407C4">
      <w:pPr>
        <w:spacing w:line="360" w:lineRule="auto"/>
        <w:jc w:val="both"/>
        <w:rPr>
          <w:rFonts w:ascii="Times New Roman" w:hAnsi="Times New Roman" w:cs="Times New Roman"/>
          <w:sz w:val="24"/>
          <w:szCs w:val="24"/>
        </w:rPr>
      </w:pPr>
      <w:r w:rsidRPr="00F407C4">
        <w:rPr>
          <w:rFonts w:ascii="Times New Roman" w:hAnsi="Times New Roman" w:cs="Times New Roman"/>
          <w:sz w:val="24"/>
          <w:szCs w:val="24"/>
        </w:rPr>
        <w:t>Islamic law is a divine law governed by the precepts laid down in the primary sources of Shari’ah. However, it is noteworthy that the notion of pension scheme is not alien to Islamic jurisprudence. It was a popular scheme adopted to support the poor, needy, aged and disabled Muslims since the time of the predecessors.</w:t>
      </w:r>
      <w:r w:rsidRPr="00F407C4">
        <w:rPr>
          <w:rStyle w:val="FootnoteReference"/>
          <w:rFonts w:ascii="Times New Roman" w:hAnsi="Times New Roman" w:cs="Times New Roman"/>
          <w:sz w:val="24"/>
          <w:szCs w:val="24"/>
        </w:rPr>
        <w:footnoteReference w:id="18"/>
      </w:r>
      <w:r w:rsidRPr="00F407C4">
        <w:rPr>
          <w:rFonts w:ascii="Times New Roman" w:hAnsi="Times New Roman" w:cs="Times New Roman"/>
          <w:sz w:val="24"/>
          <w:szCs w:val="24"/>
        </w:rPr>
        <w:t xml:space="preserve"> This was actualized through the instrumentality of</w:t>
      </w:r>
      <w:r w:rsidRPr="00F407C4">
        <w:rPr>
          <w:rFonts w:ascii="Times New Roman" w:hAnsi="Times New Roman" w:cs="Times New Roman"/>
          <w:i/>
          <w:sz w:val="24"/>
          <w:szCs w:val="24"/>
        </w:rPr>
        <w:t xml:space="preserve"> Baytul Mal, Waqf </w:t>
      </w:r>
      <w:r w:rsidRPr="00F407C4">
        <w:rPr>
          <w:rFonts w:ascii="Times New Roman" w:hAnsi="Times New Roman" w:cs="Times New Roman"/>
          <w:sz w:val="24"/>
          <w:szCs w:val="24"/>
        </w:rPr>
        <w:t xml:space="preserve">and other Islamic social schemes. The earliest Muslims were key into the practice of pension scheme because it sought to achieve the </w:t>
      </w:r>
      <w:r w:rsidRPr="00F407C4">
        <w:rPr>
          <w:rFonts w:ascii="Times New Roman" w:hAnsi="Times New Roman" w:cs="Times New Roman"/>
          <w:i/>
          <w:sz w:val="24"/>
          <w:szCs w:val="24"/>
        </w:rPr>
        <w:t>Maqasaid Shari’ah</w:t>
      </w:r>
      <w:r w:rsidRPr="00F407C4">
        <w:rPr>
          <w:rFonts w:ascii="Times New Roman" w:hAnsi="Times New Roman" w:cs="Times New Roman"/>
          <w:sz w:val="24"/>
          <w:szCs w:val="24"/>
        </w:rPr>
        <w:t xml:space="preserve">, which specifically centers on protection of life and wealth. Islamic law usually screens sources of wealth, income earnings and accumulated wealth by Muslims. Importantly, it gives zero-tolerance to </w:t>
      </w:r>
      <w:r w:rsidRPr="00F407C4">
        <w:rPr>
          <w:rFonts w:ascii="Times New Roman" w:hAnsi="Times New Roman" w:cs="Times New Roman"/>
          <w:i/>
          <w:sz w:val="24"/>
          <w:szCs w:val="24"/>
        </w:rPr>
        <w:t>riba</w:t>
      </w:r>
      <w:r w:rsidRPr="00F407C4">
        <w:rPr>
          <w:rFonts w:ascii="Times New Roman" w:hAnsi="Times New Roman" w:cs="Times New Roman"/>
          <w:sz w:val="24"/>
          <w:szCs w:val="24"/>
        </w:rPr>
        <w:t xml:space="preserve"> of any guise and disapproves business ventures with forbidden contents.</w:t>
      </w:r>
      <w:r w:rsidRPr="00F407C4">
        <w:rPr>
          <w:rStyle w:val="FootnoteReference"/>
          <w:rFonts w:ascii="Times New Roman" w:hAnsi="Times New Roman" w:cs="Times New Roman"/>
          <w:sz w:val="24"/>
          <w:szCs w:val="24"/>
        </w:rPr>
        <w:footnoteReference w:id="19"/>
      </w:r>
    </w:p>
    <w:p w:rsidR="00716884" w:rsidRPr="00F407C4" w:rsidRDefault="00716884" w:rsidP="00F407C4">
      <w:pPr>
        <w:spacing w:line="360" w:lineRule="auto"/>
        <w:jc w:val="both"/>
        <w:rPr>
          <w:rFonts w:ascii="Times New Roman" w:hAnsi="Times New Roman" w:cs="Times New Roman"/>
          <w:sz w:val="24"/>
          <w:szCs w:val="24"/>
        </w:rPr>
      </w:pPr>
      <w:r w:rsidRPr="00F407C4">
        <w:rPr>
          <w:rFonts w:ascii="Times New Roman" w:hAnsi="Times New Roman" w:cs="Times New Roman"/>
          <w:sz w:val="24"/>
          <w:szCs w:val="24"/>
        </w:rPr>
        <w:t>However, the new Nigerian contributory pension scheme empowers the various pension administrators to properly manage the pension funds including investments in profitable ventures to yield returns on investment usually credited to the various account held by the contributing employees.</w:t>
      </w:r>
      <w:r w:rsidRPr="00F407C4">
        <w:rPr>
          <w:rStyle w:val="FootnoteReference"/>
          <w:rFonts w:ascii="Times New Roman" w:hAnsi="Times New Roman" w:cs="Times New Roman"/>
          <w:sz w:val="24"/>
          <w:szCs w:val="24"/>
        </w:rPr>
        <w:footnoteReference w:id="20"/>
      </w:r>
      <w:r w:rsidRPr="00F407C4">
        <w:rPr>
          <w:rFonts w:ascii="Times New Roman" w:hAnsi="Times New Roman" w:cs="Times New Roman"/>
          <w:sz w:val="24"/>
          <w:szCs w:val="24"/>
        </w:rPr>
        <w:t xml:space="preserve"> This is where Islamic law issue comes to play. Within the context of the new contributory pension scheme, the pension administrators usually utilize the pension funds in riba-based transaction and other forbidden business outlet under the guise investment against the Islamic principle of profit and loss sharing. The Muslim contributors are not aware of the </w:t>
      </w:r>
      <w:r w:rsidRPr="00F407C4">
        <w:rPr>
          <w:rFonts w:ascii="Times New Roman" w:hAnsi="Times New Roman" w:cs="Times New Roman"/>
          <w:sz w:val="24"/>
          <w:szCs w:val="24"/>
        </w:rPr>
        <w:lastRenderedPageBreak/>
        <w:t>quantum of profits made by their pension administrators let alone querying the amounts credited to their respective pension accounts. All they see in their savings is an increment in their accounts in forms of profits or returns on investments.</w:t>
      </w:r>
      <w:r w:rsidRPr="00F407C4">
        <w:rPr>
          <w:rStyle w:val="FootnoteReference"/>
          <w:rFonts w:ascii="Times New Roman" w:hAnsi="Times New Roman" w:cs="Times New Roman"/>
          <w:sz w:val="24"/>
          <w:szCs w:val="24"/>
        </w:rPr>
        <w:footnoteReference w:id="21"/>
      </w:r>
    </w:p>
    <w:p w:rsidR="00716884" w:rsidRPr="00F407C4" w:rsidRDefault="00716884" w:rsidP="00F407C4">
      <w:pPr>
        <w:spacing w:line="360" w:lineRule="auto"/>
        <w:jc w:val="both"/>
        <w:rPr>
          <w:rFonts w:ascii="Times New Roman" w:hAnsi="Times New Roman" w:cs="Times New Roman"/>
          <w:sz w:val="24"/>
          <w:szCs w:val="24"/>
        </w:rPr>
      </w:pPr>
      <w:r w:rsidRPr="00F407C4">
        <w:rPr>
          <w:rFonts w:ascii="Times New Roman" w:hAnsi="Times New Roman" w:cs="Times New Roman"/>
          <w:sz w:val="24"/>
          <w:szCs w:val="24"/>
        </w:rPr>
        <w:t xml:space="preserve">The foregoing practice violates Islamic law principles of responsible investment and zero-tolerance for </w:t>
      </w:r>
      <w:r w:rsidRPr="00F407C4">
        <w:rPr>
          <w:rFonts w:ascii="Times New Roman" w:hAnsi="Times New Roman" w:cs="Times New Roman"/>
          <w:i/>
          <w:sz w:val="24"/>
          <w:szCs w:val="24"/>
        </w:rPr>
        <w:t>riba</w:t>
      </w:r>
      <w:r w:rsidRPr="00F407C4">
        <w:rPr>
          <w:rFonts w:ascii="Times New Roman" w:hAnsi="Times New Roman" w:cs="Times New Roman"/>
          <w:sz w:val="24"/>
          <w:szCs w:val="24"/>
        </w:rPr>
        <w:t>-based transactions.</w:t>
      </w:r>
      <w:r w:rsidRPr="00F407C4">
        <w:rPr>
          <w:rStyle w:val="FootnoteReference"/>
          <w:rFonts w:ascii="Times New Roman" w:hAnsi="Times New Roman" w:cs="Times New Roman"/>
          <w:sz w:val="24"/>
          <w:szCs w:val="24"/>
        </w:rPr>
        <w:footnoteReference w:id="22"/>
      </w:r>
      <w:r w:rsidRPr="00F407C4">
        <w:rPr>
          <w:rFonts w:ascii="Times New Roman" w:hAnsi="Times New Roman" w:cs="Times New Roman"/>
          <w:sz w:val="24"/>
          <w:szCs w:val="24"/>
        </w:rPr>
        <w:t xml:space="preserve"> In the same vein, the Islamic principles of transparency, accountability, fair dealings, disclosure and justice are violated by the way and manner the funds are being managed by the various pension administrators the reason for the foregoing is not far-fetched.</w:t>
      </w:r>
      <w:r w:rsidRPr="00F407C4">
        <w:rPr>
          <w:rStyle w:val="FootnoteReference"/>
          <w:rFonts w:ascii="Times New Roman" w:hAnsi="Times New Roman" w:cs="Times New Roman"/>
          <w:sz w:val="24"/>
          <w:szCs w:val="24"/>
        </w:rPr>
        <w:footnoteReference w:id="23"/>
      </w:r>
      <w:r w:rsidRPr="00F407C4">
        <w:rPr>
          <w:rFonts w:ascii="Times New Roman" w:hAnsi="Times New Roman" w:cs="Times New Roman"/>
          <w:sz w:val="24"/>
          <w:szCs w:val="24"/>
        </w:rPr>
        <w:t xml:space="preserve"> It is because the existing framework for the new Nigerian contributory pension scheme is not Shari’ah compliant.             </w:t>
      </w:r>
    </w:p>
    <w:p w:rsidR="00716884" w:rsidRPr="00F407C4" w:rsidRDefault="00662573" w:rsidP="00F407C4">
      <w:pPr>
        <w:spacing w:line="360" w:lineRule="auto"/>
        <w:jc w:val="both"/>
        <w:rPr>
          <w:rFonts w:ascii="Times New Roman" w:hAnsi="Times New Roman" w:cs="Times New Roman"/>
          <w:b/>
          <w:sz w:val="24"/>
          <w:szCs w:val="24"/>
        </w:rPr>
      </w:pPr>
      <w:r>
        <w:rPr>
          <w:rFonts w:ascii="Times New Roman" w:hAnsi="Times New Roman" w:cs="Times New Roman"/>
          <w:b/>
          <w:sz w:val="24"/>
          <w:szCs w:val="24"/>
        </w:rPr>
        <w:t>5</w:t>
      </w:r>
      <w:r w:rsidR="008B5C59" w:rsidRPr="00F407C4">
        <w:rPr>
          <w:rFonts w:ascii="Times New Roman" w:hAnsi="Times New Roman" w:cs="Times New Roman"/>
          <w:b/>
          <w:sz w:val="24"/>
          <w:szCs w:val="24"/>
        </w:rPr>
        <w:t>.</w:t>
      </w:r>
      <w:r w:rsidR="008B5C59" w:rsidRPr="00F407C4">
        <w:rPr>
          <w:rFonts w:ascii="Times New Roman" w:hAnsi="Times New Roman" w:cs="Times New Roman"/>
          <w:b/>
          <w:sz w:val="24"/>
          <w:szCs w:val="24"/>
        </w:rPr>
        <w:tab/>
      </w:r>
      <w:r w:rsidR="006B6DCF">
        <w:rPr>
          <w:rFonts w:ascii="Times New Roman" w:hAnsi="Times New Roman" w:cs="Times New Roman"/>
          <w:b/>
          <w:sz w:val="24"/>
          <w:szCs w:val="24"/>
        </w:rPr>
        <w:t xml:space="preserve">Nigerian </w:t>
      </w:r>
      <w:r w:rsidR="00716884" w:rsidRPr="00F407C4">
        <w:rPr>
          <w:rFonts w:ascii="Times New Roman" w:hAnsi="Times New Roman" w:cs="Times New Roman"/>
          <w:b/>
          <w:sz w:val="24"/>
          <w:szCs w:val="24"/>
        </w:rPr>
        <w:t>Administration of Pension Funds and Islamic law issues</w:t>
      </w:r>
    </w:p>
    <w:p w:rsidR="00716884" w:rsidRPr="00F407C4" w:rsidRDefault="00716884" w:rsidP="00F407C4">
      <w:pPr>
        <w:spacing w:line="360" w:lineRule="auto"/>
        <w:jc w:val="both"/>
        <w:rPr>
          <w:rFonts w:ascii="Times New Roman" w:hAnsi="Times New Roman" w:cs="Times New Roman"/>
          <w:sz w:val="24"/>
          <w:szCs w:val="24"/>
        </w:rPr>
      </w:pPr>
      <w:r w:rsidRPr="00F407C4">
        <w:rPr>
          <w:rFonts w:ascii="Times New Roman" w:hAnsi="Times New Roman" w:cs="Times New Roman"/>
          <w:sz w:val="24"/>
          <w:szCs w:val="24"/>
        </w:rPr>
        <w:t xml:space="preserve">Understanding the basic Sharīʿah principles and parameters in structuring financial products and services in Islamic financial institutions either in Islamic insurance, Islamic banking, Islamic capital markets, Islamic pawnshops, Islamic cooperative or other institutions offering Islamic financial services is very demanding for product development particularly </w:t>
      </w:r>
      <w:r w:rsidRPr="00F407C4">
        <w:rPr>
          <w:rFonts w:ascii="Times New Roman" w:hAnsi="Times New Roman" w:cs="Times New Roman"/>
          <w:i/>
          <w:sz w:val="24"/>
          <w:szCs w:val="24"/>
        </w:rPr>
        <w:t>ribā</w:t>
      </w:r>
      <w:r w:rsidRPr="00F407C4">
        <w:rPr>
          <w:rFonts w:ascii="Times New Roman" w:hAnsi="Times New Roman" w:cs="Times New Roman"/>
          <w:sz w:val="24"/>
          <w:szCs w:val="24"/>
        </w:rPr>
        <w:t xml:space="preserve">(usury), </w:t>
      </w:r>
      <w:r w:rsidRPr="00F407C4">
        <w:rPr>
          <w:rFonts w:ascii="Times New Roman" w:hAnsi="Times New Roman" w:cs="Times New Roman"/>
          <w:i/>
          <w:sz w:val="24"/>
          <w:szCs w:val="24"/>
        </w:rPr>
        <w:t>gharar</w:t>
      </w:r>
      <w:r w:rsidRPr="00F407C4">
        <w:rPr>
          <w:rFonts w:ascii="Times New Roman" w:hAnsi="Times New Roman" w:cs="Times New Roman"/>
          <w:sz w:val="24"/>
          <w:szCs w:val="24"/>
        </w:rPr>
        <w:t xml:space="preserve"> (ambiguity) and </w:t>
      </w:r>
      <w:r w:rsidRPr="00F407C4">
        <w:rPr>
          <w:rFonts w:ascii="Times New Roman" w:hAnsi="Times New Roman" w:cs="Times New Roman"/>
          <w:i/>
          <w:sz w:val="24"/>
          <w:szCs w:val="24"/>
        </w:rPr>
        <w:t>maisir</w:t>
      </w:r>
      <w:r w:rsidRPr="00F407C4">
        <w:rPr>
          <w:rFonts w:ascii="Times New Roman" w:hAnsi="Times New Roman" w:cs="Times New Roman"/>
          <w:sz w:val="24"/>
          <w:szCs w:val="24"/>
        </w:rPr>
        <w:t xml:space="preserve"> (gambling)</w:t>
      </w:r>
      <w:r w:rsidRPr="00F407C4">
        <w:rPr>
          <w:rStyle w:val="FootnoteReference"/>
          <w:rFonts w:ascii="Times New Roman" w:hAnsi="Times New Roman" w:cs="Times New Roman"/>
          <w:sz w:val="24"/>
          <w:szCs w:val="24"/>
        </w:rPr>
        <w:footnoteReference w:id="24"/>
      </w:r>
      <w:r w:rsidRPr="00F407C4">
        <w:rPr>
          <w:rFonts w:ascii="Times New Roman" w:hAnsi="Times New Roman" w:cs="Times New Roman"/>
          <w:sz w:val="24"/>
          <w:szCs w:val="24"/>
        </w:rPr>
        <w:t>. In Islam, the transaction in trade and commerce must conform to the requirement of Sharīʿah which means the abstinence from prohibitions (prohibited matters) and observing that every contract possesses all its essential elements and that every essential element meets its necessary conditions.</w:t>
      </w:r>
      <w:r w:rsidRPr="00F407C4">
        <w:rPr>
          <w:rStyle w:val="FootnoteReference"/>
          <w:rFonts w:ascii="Times New Roman" w:hAnsi="Times New Roman" w:cs="Times New Roman"/>
          <w:sz w:val="24"/>
          <w:szCs w:val="24"/>
        </w:rPr>
        <w:footnoteReference w:id="25"/>
      </w:r>
    </w:p>
    <w:p w:rsidR="00716884" w:rsidRPr="00F407C4" w:rsidRDefault="00716884" w:rsidP="00F407C4">
      <w:pPr>
        <w:spacing w:line="360" w:lineRule="auto"/>
        <w:jc w:val="both"/>
        <w:rPr>
          <w:rFonts w:ascii="Times New Roman" w:hAnsi="Times New Roman" w:cs="Times New Roman"/>
          <w:sz w:val="24"/>
          <w:szCs w:val="24"/>
        </w:rPr>
      </w:pPr>
      <w:r w:rsidRPr="00F407C4">
        <w:rPr>
          <w:rFonts w:ascii="Times New Roman" w:hAnsi="Times New Roman" w:cs="Times New Roman"/>
          <w:sz w:val="24"/>
          <w:szCs w:val="24"/>
        </w:rPr>
        <w:t xml:space="preserve">This sections examines the basic Sharīʿah principles in structuring the product in Islamic financial services particularly pension funds from fiqh point of view particularly basic general prohibition in commercial transactions such as </w:t>
      </w:r>
      <w:r w:rsidRPr="00F407C4">
        <w:rPr>
          <w:rFonts w:ascii="Times New Roman" w:hAnsi="Times New Roman" w:cs="Times New Roman"/>
          <w:i/>
          <w:sz w:val="24"/>
          <w:szCs w:val="24"/>
        </w:rPr>
        <w:t>ribā</w:t>
      </w:r>
      <w:r w:rsidRPr="00F407C4">
        <w:rPr>
          <w:rFonts w:ascii="Times New Roman" w:hAnsi="Times New Roman" w:cs="Times New Roman"/>
          <w:sz w:val="24"/>
          <w:szCs w:val="24"/>
        </w:rPr>
        <w:t xml:space="preserve"> (usury or interest), </w:t>
      </w:r>
      <w:r w:rsidRPr="00F407C4">
        <w:rPr>
          <w:rFonts w:ascii="Times New Roman" w:hAnsi="Times New Roman" w:cs="Times New Roman"/>
          <w:i/>
          <w:sz w:val="24"/>
          <w:szCs w:val="24"/>
        </w:rPr>
        <w:t>gharar</w:t>
      </w:r>
      <w:r w:rsidRPr="00F407C4">
        <w:rPr>
          <w:rFonts w:ascii="Times New Roman" w:hAnsi="Times New Roman" w:cs="Times New Roman"/>
          <w:sz w:val="24"/>
          <w:szCs w:val="24"/>
        </w:rPr>
        <w:t xml:space="preserve"> (uncertain or unclear elements in business contracts) and </w:t>
      </w:r>
      <w:r w:rsidRPr="00F407C4">
        <w:rPr>
          <w:rFonts w:ascii="Times New Roman" w:hAnsi="Times New Roman" w:cs="Times New Roman"/>
          <w:i/>
          <w:sz w:val="24"/>
          <w:szCs w:val="24"/>
        </w:rPr>
        <w:t>maisir</w:t>
      </w:r>
      <w:r w:rsidRPr="00F407C4">
        <w:rPr>
          <w:rFonts w:ascii="Times New Roman" w:hAnsi="Times New Roman" w:cs="Times New Roman"/>
          <w:sz w:val="24"/>
          <w:szCs w:val="24"/>
        </w:rPr>
        <w:t xml:space="preserve">  (transactions similar to gambling), and the contracts  banned by Sharīʿah.  Therefore, the section first highlights the meaning of ribā and </w:t>
      </w:r>
      <w:r w:rsidRPr="00F407C4">
        <w:rPr>
          <w:rFonts w:ascii="Times New Roman" w:hAnsi="Times New Roman" w:cs="Times New Roman"/>
          <w:sz w:val="24"/>
          <w:szCs w:val="24"/>
        </w:rPr>
        <w:lastRenderedPageBreak/>
        <w:t xml:space="preserve">how they may occur in the administration of pension funds and services. Second, examines proper understanding of </w:t>
      </w:r>
      <w:r w:rsidRPr="00F407C4">
        <w:rPr>
          <w:rFonts w:ascii="Times New Roman" w:hAnsi="Times New Roman" w:cs="Times New Roman"/>
          <w:i/>
          <w:iCs/>
          <w:sz w:val="24"/>
          <w:szCs w:val="24"/>
        </w:rPr>
        <w:t>Gharar</w:t>
      </w:r>
      <w:r w:rsidRPr="00F407C4">
        <w:rPr>
          <w:rFonts w:ascii="Times New Roman" w:hAnsi="Times New Roman" w:cs="Times New Roman"/>
          <w:sz w:val="24"/>
          <w:szCs w:val="24"/>
        </w:rPr>
        <w:t xml:space="preserve">, types of </w:t>
      </w:r>
      <w:r w:rsidRPr="00F407C4">
        <w:rPr>
          <w:rFonts w:ascii="Times New Roman" w:hAnsi="Times New Roman" w:cs="Times New Roman"/>
          <w:i/>
          <w:iCs/>
          <w:sz w:val="24"/>
          <w:szCs w:val="24"/>
        </w:rPr>
        <w:t>Gharar</w:t>
      </w:r>
      <w:r w:rsidRPr="00F407C4">
        <w:rPr>
          <w:rFonts w:ascii="Times New Roman" w:hAnsi="Times New Roman" w:cs="Times New Roman"/>
          <w:sz w:val="24"/>
          <w:szCs w:val="24"/>
        </w:rPr>
        <w:t xml:space="preserve">, and how they may involve in pension funds and finance transaction. Third elucidates the concept of </w:t>
      </w:r>
      <w:r w:rsidRPr="00F407C4">
        <w:rPr>
          <w:rFonts w:ascii="Times New Roman" w:hAnsi="Times New Roman" w:cs="Times New Roman"/>
          <w:i/>
          <w:iCs/>
          <w:sz w:val="24"/>
          <w:szCs w:val="24"/>
        </w:rPr>
        <w:t>Maisir</w:t>
      </w:r>
      <w:r w:rsidRPr="00F407C4">
        <w:rPr>
          <w:rFonts w:ascii="Times New Roman" w:hAnsi="Times New Roman" w:cs="Times New Roman"/>
          <w:sz w:val="24"/>
          <w:szCs w:val="24"/>
        </w:rPr>
        <w:t>, and how it relates to pension funds.</w:t>
      </w:r>
    </w:p>
    <w:p w:rsidR="00716884" w:rsidRPr="007D5ECF" w:rsidRDefault="00662573" w:rsidP="007D5ECF">
      <w:pPr>
        <w:spacing w:line="360" w:lineRule="auto"/>
        <w:jc w:val="both"/>
        <w:rPr>
          <w:rFonts w:ascii="Times New Roman" w:hAnsi="Times New Roman" w:cs="Times New Roman"/>
          <w:b/>
          <w:i/>
          <w:sz w:val="24"/>
          <w:szCs w:val="24"/>
        </w:rPr>
      </w:pPr>
      <w:r>
        <w:rPr>
          <w:rFonts w:ascii="Times New Roman" w:hAnsi="Times New Roman" w:cs="Times New Roman"/>
          <w:b/>
          <w:i/>
          <w:sz w:val="24"/>
          <w:szCs w:val="24"/>
        </w:rPr>
        <w:t>5.1</w:t>
      </w:r>
      <w:r>
        <w:rPr>
          <w:rFonts w:ascii="Times New Roman" w:hAnsi="Times New Roman" w:cs="Times New Roman"/>
          <w:b/>
          <w:i/>
          <w:sz w:val="24"/>
          <w:szCs w:val="24"/>
        </w:rPr>
        <w:tab/>
      </w:r>
      <w:r w:rsidR="00716884" w:rsidRPr="007D5ECF">
        <w:rPr>
          <w:rFonts w:ascii="Times New Roman" w:hAnsi="Times New Roman" w:cs="Times New Roman"/>
          <w:b/>
          <w:i/>
          <w:sz w:val="24"/>
          <w:szCs w:val="24"/>
        </w:rPr>
        <w:t>Gharar</w:t>
      </w:r>
    </w:p>
    <w:p w:rsidR="00716884" w:rsidRPr="00F407C4" w:rsidRDefault="00716884" w:rsidP="00F407C4">
      <w:pPr>
        <w:spacing w:line="360" w:lineRule="auto"/>
        <w:jc w:val="both"/>
        <w:rPr>
          <w:rFonts w:ascii="Times New Roman" w:hAnsi="Times New Roman" w:cs="Times New Roman"/>
          <w:sz w:val="24"/>
          <w:szCs w:val="24"/>
        </w:rPr>
      </w:pPr>
      <w:r w:rsidRPr="00F407C4">
        <w:rPr>
          <w:rFonts w:ascii="Times New Roman" w:hAnsi="Times New Roman" w:cs="Times New Roman"/>
          <w:sz w:val="24"/>
          <w:szCs w:val="24"/>
        </w:rPr>
        <w:t>Gharar is the second important element in transaction with the aim to avoid deception and to protect the right of contracting parties, minimize disputes and to reduce the opportunity of exploitation one counterparty by another in transactions, so that no one or both parties cheated or aggrieved. Gharar literally means: danger or exposure to destruction, risk or hazard or risk taking, deception, delusiveness, peril, hazard, fallaciousness, undisclosed, and uncertainty. In financial application, gharar means deceptive uncertainty which indicating the one who practice gharar deceives or frauds through the use of uncertainty</w:t>
      </w:r>
    </w:p>
    <w:p w:rsidR="00716884" w:rsidRPr="00F407C4" w:rsidRDefault="00716884" w:rsidP="00F407C4">
      <w:pPr>
        <w:spacing w:line="360" w:lineRule="auto"/>
        <w:jc w:val="both"/>
        <w:rPr>
          <w:rFonts w:ascii="Times New Roman" w:hAnsi="Times New Roman" w:cs="Times New Roman"/>
          <w:sz w:val="24"/>
          <w:szCs w:val="24"/>
        </w:rPr>
      </w:pPr>
      <w:r w:rsidRPr="00F407C4">
        <w:rPr>
          <w:rFonts w:ascii="Times New Roman" w:hAnsi="Times New Roman" w:cs="Times New Roman"/>
          <w:sz w:val="24"/>
          <w:szCs w:val="24"/>
        </w:rPr>
        <w:t>Gharar has also been described as uncertainty or risks caused by a lack of clarity regarding the subject matter or the price in a contract or exchange. A sale or any other business contract which entails an element of Gharar is prohibited.</w:t>
      </w:r>
      <w:r w:rsidRPr="00F407C4">
        <w:rPr>
          <w:rStyle w:val="FootnoteReference"/>
          <w:rFonts w:ascii="Times New Roman" w:hAnsi="Times New Roman" w:cs="Times New Roman"/>
          <w:sz w:val="24"/>
          <w:szCs w:val="24"/>
        </w:rPr>
        <w:footnoteReference w:id="26"/>
      </w:r>
      <w:r w:rsidRPr="00F407C4">
        <w:rPr>
          <w:rFonts w:ascii="Times New Roman" w:hAnsi="Times New Roman" w:cs="Times New Roman"/>
          <w:sz w:val="24"/>
          <w:szCs w:val="24"/>
        </w:rPr>
        <w:t xml:space="preserve"> An example in the context of Islamic finance is to advise a customer to buy shares in a company that is the subject of a takeover bid on the grounds that the share price is likely to increase. </w:t>
      </w:r>
    </w:p>
    <w:p w:rsidR="00716884" w:rsidRPr="00F407C4" w:rsidRDefault="00716884" w:rsidP="00F407C4">
      <w:pPr>
        <w:spacing w:line="360" w:lineRule="auto"/>
        <w:jc w:val="both"/>
        <w:rPr>
          <w:rFonts w:ascii="Times New Roman" w:hAnsi="Times New Roman" w:cs="Times New Roman"/>
          <w:sz w:val="24"/>
          <w:szCs w:val="24"/>
        </w:rPr>
      </w:pPr>
      <w:r w:rsidRPr="00F407C4">
        <w:rPr>
          <w:rFonts w:ascii="Times New Roman" w:hAnsi="Times New Roman" w:cs="Times New Roman"/>
          <w:sz w:val="24"/>
          <w:szCs w:val="24"/>
        </w:rPr>
        <w:t>Gharar has been characterized as follows by Ibn Taymiyyah</w:t>
      </w:r>
      <w:r w:rsidR="00174CF4">
        <w:rPr>
          <w:rFonts w:ascii="Times New Roman" w:hAnsi="Times New Roman" w:cs="Times New Roman"/>
          <w:sz w:val="24"/>
          <w:szCs w:val="24"/>
        </w:rPr>
        <w:t xml:space="preserve"> in the following words:</w:t>
      </w:r>
      <w:r w:rsidRPr="00F407C4">
        <w:rPr>
          <w:rStyle w:val="FootnoteReference"/>
          <w:rFonts w:ascii="Times New Roman" w:hAnsi="Times New Roman" w:cs="Times New Roman"/>
          <w:sz w:val="24"/>
          <w:szCs w:val="24"/>
        </w:rPr>
        <w:footnoteReference w:id="27"/>
      </w:r>
    </w:p>
    <w:p w:rsidR="00716884" w:rsidRPr="00174CF4" w:rsidRDefault="00716884" w:rsidP="00174CF4">
      <w:pPr>
        <w:spacing w:line="240" w:lineRule="auto"/>
        <w:ind w:left="1440"/>
        <w:jc w:val="both"/>
        <w:rPr>
          <w:rFonts w:ascii="Times New Roman" w:hAnsi="Times New Roman" w:cs="Times New Roman"/>
        </w:rPr>
      </w:pPr>
      <w:r w:rsidRPr="00174CF4">
        <w:rPr>
          <w:rFonts w:ascii="Times New Roman" w:hAnsi="Times New Roman" w:cs="Times New Roman"/>
        </w:rPr>
        <w:t>In a gharar sale, one party obtains something, while the other is under risk, which leads to regret of one of them, and their dispute. [...] It is well known that Allah and his Messenger did not prohibit every kind of risk. Nor all kinds of transactions that involve the possibility of gain or loss or neutrality are prohibited. What is prohibited among such kinds is eating wealth for nothing, even if there were no risk, not that risk as such is prohibited</w:t>
      </w:r>
      <w:r w:rsidR="00174CF4" w:rsidRPr="00174CF4">
        <w:rPr>
          <w:rFonts w:ascii="Times New Roman" w:hAnsi="Times New Roman" w:cs="Times New Roman"/>
        </w:rPr>
        <w:t>.</w:t>
      </w:r>
      <w:r w:rsidRPr="00174CF4">
        <w:rPr>
          <w:rStyle w:val="FootnoteReference"/>
          <w:rFonts w:ascii="Times New Roman" w:hAnsi="Times New Roman" w:cs="Times New Roman"/>
        </w:rPr>
        <w:footnoteReference w:id="28"/>
      </w:r>
    </w:p>
    <w:p w:rsidR="00716884" w:rsidRPr="00F407C4" w:rsidRDefault="00716884" w:rsidP="00F407C4">
      <w:pPr>
        <w:spacing w:line="360" w:lineRule="auto"/>
        <w:jc w:val="both"/>
        <w:rPr>
          <w:rFonts w:ascii="Times New Roman" w:hAnsi="Times New Roman" w:cs="Times New Roman"/>
          <w:sz w:val="24"/>
          <w:szCs w:val="24"/>
        </w:rPr>
      </w:pPr>
      <w:r w:rsidRPr="00F407C4">
        <w:rPr>
          <w:rFonts w:ascii="Times New Roman" w:hAnsi="Times New Roman" w:cs="Times New Roman"/>
          <w:sz w:val="24"/>
          <w:szCs w:val="24"/>
        </w:rPr>
        <w:t xml:space="preserve"> Ibn Taymiyyah's student, Ibn al-Qayyim</w:t>
      </w:r>
      <w:r w:rsidRPr="00F407C4">
        <w:rPr>
          <w:rStyle w:val="FootnoteReference"/>
          <w:rFonts w:ascii="Times New Roman" w:hAnsi="Times New Roman" w:cs="Times New Roman"/>
          <w:sz w:val="24"/>
          <w:szCs w:val="24"/>
        </w:rPr>
        <w:footnoteReference w:id="29"/>
      </w:r>
      <w:r w:rsidRPr="00F407C4">
        <w:rPr>
          <w:rFonts w:ascii="Times New Roman" w:hAnsi="Times New Roman" w:cs="Times New Roman"/>
          <w:sz w:val="24"/>
          <w:szCs w:val="24"/>
        </w:rPr>
        <w:t xml:space="preserve"> stated:</w:t>
      </w:r>
    </w:p>
    <w:p w:rsidR="00716884" w:rsidRPr="00174CF4" w:rsidRDefault="00716884" w:rsidP="00174CF4">
      <w:pPr>
        <w:spacing w:line="240" w:lineRule="auto"/>
        <w:ind w:left="1440"/>
        <w:jc w:val="both"/>
        <w:rPr>
          <w:rFonts w:ascii="Times New Roman" w:hAnsi="Times New Roman" w:cs="Times New Roman"/>
        </w:rPr>
      </w:pPr>
      <w:r w:rsidRPr="00174CF4">
        <w:rPr>
          <w:rFonts w:ascii="Times New Roman" w:hAnsi="Times New Roman" w:cs="Times New Roman"/>
        </w:rPr>
        <w:lastRenderedPageBreak/>
        <w:t>Gharar is the possibility of existence and non-existence. Its sale is forbidden because it is a sort of gambling, which is maysir [games of chance]. Allah forbade it because of eating other's wealth for nothing, and this is injustice that Allah has forbidden. It becomes gambling when one party gets a reward (benefit) while the other might not get it, so this becomes illegal, like the</w:t>
      </w:r>
      <w:r w:rsidR="00174CF4" w:rsidRPr="00174CF4">
        <w:rPr>
          <w:rFonts w:ascii="Times New Roman" w:hAnsi="Times New Roman" w:cs="Times New Roman"/>
        </w:rPr>
        <w:t xml:space="preserve"> sale of runaway slave [...] I</w:t>
      </w:r>
      <w:r w:rsidRPr="00174CF4">
        <w:rPr>
          <w:rFonts w:ascii="Times New Roman" w:hAnsi="Times New Roman" w:cs="Times New Roman"/>
        </w:rPr>
        <w:t>t is sold for less than its price. If it is found, the seller regrets, if not, the buyer regrets</w:t>
      </w:r>
      <w:r w:rsidR="00174CF4" w:rsidRPr="00174CF4">
        <w:rPr>
          <w:rFonts w:ascii="Times New Roman" w:hAnsi="Times New Roman" w:cs="Times New Roman"/>
        </w:rPr>
        <w:t>.</w:t>
      </w:r>
      <w:r w:rsidRPr="00174CF4">
        <w:rPr>
          <w:rStyle w:val="FootnoteReference"/>
          <w:rFonts w:ascii="Times New Roman" w:hAnsi="Times New Roman" w:cs="Times New Roman"/>
        </w:rPr>
        <w:footnoteReference w:id="30"/>
      </w:r>
    </w:p>
    <w:p w:rsidR="00716884" w:rsidRPr="00F407C4" w:rsidRDefault="00716884" w:rsidP="00F407C4">
      <w:pPr>
        <w:spacing w:line="360" w:lineRule="auto"/>
        <w:jc w:val="both"/>
        <w:rPr>
          <w:rFonts w:ascii="Times New Roman" w:hAnsi="Times New Roman" w:cs="Times New Roman"/>
          <w:sz w:val="24"/>
          <w:szCs w:val="24"/>
        </w:rPr>
      </w:pPr>
      <w:r w:rsidRPr="00F407C4">
        <w:rPr>
          <w:rFonts w:ascii="Times New Roman" w:hAnsi="Times New Roman" w:cs="Times New Roman"/>
          <w:sz w:val="24"/>
          <w:szCs w:val="24"/>
        </w:rPr>
        <w:t>Thus gharar occurs when one party to a contract acquires a benefit from the other party without payment, or not paying the true counter value for such benefit, resulting in the party not obtaining the true counter value and regretting the transaction. Such a situation can result in ribd al-fadl (excessive benefit/gain) due to the inequity of the sale.</w:t>
      </w:r>
      <w:r w:rsidRPr="00F407C4">
        <w:rPr>
          <w:rStyle w:val="FootnoteReference"/>
          <w:rFonts w:ascii="Times New Roman" w:hAnsi="Times New Roman" w:cs="Times New Roman"/>
          <w:sz w:val="24"/>
          <w:szCs w:val="24"/>
        </w:rPr>
        <w:footnoteReference w:id="31"/>
      </w:r>
      <w:r w:rsidRPr="00F407C4">
        <w:rPr>
          <w:rFonts w:ascii="Times New Roman" w:hAnsi="Times New Roman" w:cs="Times New Roman"/>
          <w:sz w:val="24"/>
          <w:szCs w:val="24"/>
        </w:rPr>
        <w:t xml:space="preserve"> Ibn Taymiyyah illustrated that the effective cause (illah) of gharar is uncertainty when he stated:</w:t>
      </w:r>
    </w:p>
    <w:p w:rsidR="00716884" w:rsidRPr="00EB5055" w:rsidRDefault="00716884" w:rsidP="00EB5055">
      <w:pPr>
        <w:spacing w:line="240" w:lineRule="auto"/>
        <w:ind w:left="1440" w:firstLine="45"/>
        <w:jc w:val="both"/>
        <w:rPr>
          <w:rFonts w:ascii="Times New Roman" w:hAnsi="Times New Roman" w:cs="Times New Roman"/>
        </w:rPr>
      </w:pPr>
      <w:r w:rsidRPr="00EB5055">
        <w:rPr>
          <w:rFonts w:ascii="Times New Roman" w:hAnsi="Times New Roman" w:cs="Times New Roman"/>
        </w:rPr>
        <w:t>... There must be another effective cause for the prohibition of sale of those articles, which are non-existent and this effective cause is gharar [uncertainty]. Consequently, only the state of non-existence that leads to uncertainty is prohibited from the sale on the ground of uncertainty, but not on the ground of non-existence [...] for instance, if one sells the future offspring of a particular animal…</w:t>
      </w:r>
      <w:r w:rsidRPr="00EB5055">
        <w:rPr>
          <w:rStyle w:val="FootnoteReference"/>
          <w:rFonts w:ascii="Times New Roman" w:hAnsi="Times New Roman" w:cs="Times New Roman"/>
        </w:rPr>
        <w:footnoteReference w:id="32"/>
      </w:r>
    </w:p>
    <w:p w:rsidR="00716884" w:rsidRPr="00F407C4" w:rsidRDefault="00716884" w:rsidP="00F407C4">
      <w:pPr>
        <w:spacing w:line="360" w:lineRule="auto"/>
        <w:jc w:val="both"/>
        <w:rPr>
          <w:rFonts w:ascii="Times New Roman" w:hAnsi="Times New Roman" w:cs="Times New Roman"/>
          <w:sz w:val="24"/>
          <w:szCs w:val="24"/>
        </w:rPr>
      </w:pPr>
      <w:r w:rsidRPr="00F407C4">
        <w:rPr>
          <w:rFonts w:ascii="Times New Roman" w:hAnsi="Times New Roman" w:cs="Times New Roman"/>
          <w:sz w:val="24"/>
          <w:szCs w:val="24"/>
        </w:rPr>
        <w:t>Generally, Gharar can be divided in two categories:</w:t>
      </w:r>
    </w:p>
    <w:p w:rsidR="00716884" w:rsidRPr="00F407C4" w:rsidRDefault="00716884" w:rsidP="00F407C4">
      <w:pPr>
        <w:spacing w:line="360" w:lineRule="auto"/>
        <w:jc w:val="both"/>
        <w:rPr>
          <w:rFonts w:ascii="Times New Roman" w:hAnsi="Times New Roman" w:cs="Times New Roman"/>
          <w:sz w:val="24"/>
          <w:szCs w:val="24"/>
        </w:rPr>
      </w:pPr>
      <w:r w:rsidRPr="00F407C4">
        <w:rPr>
          <w:rFonts w:ascii="Times New Roman" w:hAnsi="Times New Roman" w:cs="Times New Roman"/>
          <w:sz w:val="24"/>
          <w:szCs w:val="24"/>
        </w:rPr>
        <w:t xml:space="preserve"> First: Tolerable Gharar: The Tolerable Gharar (Gharar yasīr, minor gharar) is Gharar that can be tolerated and acceptable by both parties, and would not affect the essence of the contract. For example, buy a specified car from dealer which will delivered by next week with agreed price for 100 million. Although the car does not exist today (uncertainty in existence), the dealer however </w:t>
      </w:r>
      <w:r w:rsidRPr="00F407C4">
        <w:rPr>
          <w:rFonts w:ascii="Times New Roman" w:hAnsi="Times New Roman" w:cs="Times New Roman"/>
          <w:sz w:val="24"/>
          <w:szCs w:val="24"/>
        </w:rPr>
        <w:lastRenderedPageBreak/>
        <w:t>will ensure that the car will delivered to A at the time agreed. Muslims jurists agreed that the minor gharar (gharar yasīr) is tolerated and permissible</w:t>
      </w:r>
      <w:r w:rsidRPr="00F407C4">
        <w:rPr>
          <w:rStyle w:val="FootnoteReference"/>
          <w:rFonts w:ascii="Times New Roman" w:hAnsi="Times New Roman" w:cs="Times New Roman"/>
          <w:sz w:val="24"/>
          <w:szCs w:val="24"/>
        </w:rPr>
        <w:footnoteReference w:id="33"/>
      </w:r>
      <w:r w:rsidRPr="00F407C4">
        <w:rPr>
          <w:rFonts w:ascii="Times New Roman" w:hAnsi="Times New Roman" w:cs="Times New Roman"/>
          <w:sz w:val="24"/>
          <w:szCs w:val="24"/>
        </w:rPr>
        <w:t>.</w:t>
      </w:r>
    </w:p>
    <w:p w:rsidR="00716884" w:rsidRPr="00F407C4" w:rsidRDefault="00716884" w:rsidP="00F407C4">
      <w:pPr>
        <w:spacing w:line="360" w:lineRule="auto"/>
        <w:jc w:val="both"/>
        <w:rPr>
          <w:rFonts w:ascii="Times New Roman" w:hAnsi="Times New Roman" w:cs="Times New Roman"/>
          <w:sz w:val="24"/>
          <w:szCs w:val="24"/>
        </w:rPr>
      </w:pPr>
      <w:r w:rsidRPr="00F407C4">
        <w:rPr>
          <w:rFonts w:ascii="Times New Roman" w:hAnsi="Times New Roman" w:cs="Times New Roman"/>
          <w:sz w:val="24"/>
          <w:szCs w:val="24"/>
        </w:rPr>
        <w:t>Second: Prohibited Gharar: The prohibited gharar (gharar fahish, major or excessive gharar) is an uncertainty which is so high and overwhelms a contract</w:t>
      </w:r>
      <w:r w:rsidRPr="00F407C4">
        <w:rPr>
          <w:rStyle w:val="FootnoteReference"/>
          <w:rFonts w:ascii="Times New Roman" w:hAnsi="Times New Roman" w:cs="Times New Roman"/>
          <w:sz w:val="24"/>
          <w:szCs w:val="24"/>
        </w:rPr>
        <w:footnoteReference w:id="34"/>
      </w:r>
      <w:r w:rsidRPr="00F407C4">
        <w:rPr>
          <w:rFonts w:ascii="Times New Roman" w:hAnsi="Times New Roman" w:cs="Times New Roman"/>
          <w:sz w:val="24"/>
          <w:szCs w:val="24"/>
        </w:rPr>
        <w:t>. It may arise when one the buyer or the seller is not capable of taking responsibility due to lack of majority age from legal and Shariah aspect, the buyer or seller is coerced, the object not exist, not free from encumbrances, not specified or not according to specification, or the price not stated in the agreement and two price in one transaction It is emphasized by Ibn Rushd</w:t>
      </w:r>
      <w:r w:rsidRPr="00F407C4">
        <w:rPr>
          <w:rStyle w:val="FootnoteReference"/>
          <w:rFonts w:ascii="Times New Roman" w:hAnsi="Times New Roman" w:cs="Times New Roman"/>
          <w:sz w:val="24"/>
          <w:szCs w:val="24"/>
        </w:rPr>
        <w:footnoteReference w:id="35"/>
      </w:r>
      <w:r w:rsidRPr="00F407C4">
        <w:rPr>
          <w:rFonts w:ascii="Times New Roman" w:hAnsi="Times New Roman" w:cs="Times New Roman"/>
          <w:sz w:val="24"/>
          <w:szCs w:val="24"/>
        </w:rPr>
        <w:t>the major gharar originates from the ignorance and lack of information over the nature and attributes of an object, a doubt over its availability and existence, doubt over its quantity and quality, or exact information concerning the price, the unit of the currency in which the price is paid, and the terms of payment. It also related to the time of payment and deliverability of the object</w:t>
      </w:r>
      <w:r w:rsidRPr="00F407C4">
        <w:rPr>
          <w:rStyle w:val="FootnoteReference"/>
          <w:rFonts w:ascii="Times New Roman" w:hAnsi="Times New Roman" w:cs="Times New Roman"/>
          <w:sz w:val="24"/>
          <w:szCs w:val="24"/>
        </w:rPr>
        <w:footnoteReference w:id="36"/>
      </w:r>
      <w:r w:rsidRPr="00F407C4">
        <w:rPr>
          <w:rFonts w:ascii="Times New Roman" w:hAnsi="Times New Roman" w:cs="Times New Roman"/>
          <w:sz w:val="24"/>
          <w:szCs w:val="24"/>
        </w:rPr>
        <w:t xml:space="preserve">. </w:t>
      </w:r>
    </w:p>
    <w:p w:rsidR="00716884" w:rsidRPr="00F407C4" w:rsidRDefault="00716884" w:rsidP="00F407C4">
      <w:pPr>
        <w:spacing w:line="360" w:lineRule="auto"/>
        <w:jc w:val="both"/>
        <w:rPr>
          <w:rFonts w:ascii="Times New Roman" w:hAnsi="Times New Roman" w:cs="Times New Roman"/>
          <w:sz w:val="24"/>
          <w:szCs w:val="24"/>
        </w:rPr>
      </w:pPr>
      <w:r w:rsidRPr="00F407C4">
        <w:rPr>
          <w:rFonts w:ascii="Times New Roman" w:hAnsi="Times New Roman" w:cs="Times New Roman"/>
          <w:sz w:val="24"/>
          <w:szCs w:val="24"/>
        </w:rPr>
        <w:t xml:space="preserve">Simply put, According to Imam Ibn Taymiyyah, the wisdom behind the prohibition of gharar sale or any contract which contains the elements of uncertainty and hazard in which the sale will result taking someone else's property for vanities and injustice which is kind of immorality and hostility </w:t>
      </w:r>
      <w:r w:rsidRPr="00F407C4">
        <w:rPr>
          <w:rStyle w:val="FootnoteReference"/>
          <w:rFonts w:ascii="Times New Roman" w:hAnsi="Times New Roman" w:cs="Times New Roman"/>
          <w:sz w:val="24"/>
          <w:szCs w:val="24"/>
        </w:rPr>
        <w:footnoteReference w:id="37"/>
      </w:r>
    </w:p>
    <w:p w:rsidR="00716884" w:rsidRPr="00F407C4" w:rsidRDefault="00716884" w:rsidP="00F407C4">
      <w:pPr>
        <w:spacing w:line="360" w:lineRule="auto"/>
        <w:jc w:val="both"/>
        <w:rPr>
          <w:rFonts w:ascii="Times New Roman" w:hAnsi="Times New Roman" w:cs="Times New Roman"/>
          <w:sz w:val="24"/>
          <w:szCs w:val="24"/>
        </w:rPr>
      </w:pPr>
      <w:r w:rsidRPr="00F407C4">
        <w:rPr>
          <w:rFonts w:ascii="Times New Roman" w:hAnsi="Times New Roman" w:cs="Times New Roman"/>
          <w:sz w:val="24"/>
          <w:szCs w:val="24"/>
        </w:rPr>
        <w:t xml:space="preserve">A contemporary example of gharar is conventional insurance. Conventional insurance does carry excessive gharar. Firstly is because the subject matters exchanged in the contract are between money and money which is a kind of a buying and selling contract thus making the contract exposed to conditions or requirements of reasonable knowledge in the subject matters’ quantum as well as the ability to deliver them. Thus necessitate a definite fixation of the subject matters and this is not true for an insurance contract. Any breach of one of the conditions constitutes an </w:t>
      </w:r>
      <w:r w:rsidRPr="00F407C4">
        <w:rPr>
          <w:rFonts w:ascii="Times New Roman" w:hAnsi="Times New Roman" w:cs="Times New Roman"/>
          <w:sz w:val="24"/>
          <w:szCs w:val="24"/>
        </w:rPr>
        <w:lastRenderedPageBreak/>
        <w:t xml:space="preserve">uncertainty in the subject matters either the premium or the compensation. And consequently these uncertainties will lead to the uncertainty of the execution of the contract itself.  </w:t>
      </w:r>
    </w:p>
    <w:p w:rsidR="00716884" w:rsidRPr="00F407C4" w:rsidRDefault="00716884" w:rsidP="00F407C4">
      <w:pPr>
        <w:spacing w:line="360" w:lineRule="auto"/>
        <w:jc w:val="both"/>
        <w:rPr>
          <w:rFonts w:ascii="Times New Roman" w:hAnsi="Times New Roman" w:cs="Times New Roman"/>
          <w:sz w:val="24"/>
          <w:szCs w:val="24"/>
        </w:rPr>
      </w:pPr>
      <w:r w:rsidRPr="00F407C4">
        <w:rPr>
          <w:rFonts w:ascii="Times New Roman" w:hAnsi="Times New Roman" w:cs="Times New Roman"/>
          <w:sz w:val="24"/>
          <w:szCs w:val="24"/>
        </w:rPr>
        <w:t>Secondly are all of the uncertainties arising due to uncertainty of the happening of the insured event as well as the time of happening? Although the event or the time is beyond man’s control, any contract attached with these conditions is not allowed due to want of knowledge. Want of knowledge itself shall result in the existence of gharar in the contract.</w:t>
      </w:r>
      <w:r w:rsidRPr="00F407C4">
        <w:rPr>
          <w:rStyle w:val="FootnoteReference"/>
          <w:rFonts w:ascii="Times New Roman" w:hAnsi="Times New Roman" w:cs="Times New Roman"/>
          <w:sz w:val="24"/>
          <w:szCs w:val="24"/>
        </w:rPr>
        <w:footnoteReference w:id="38"/>
      </w:r>
    </w:p>
    <w:p w:rsidR="00716884" w:rsidRPr="00662573" w:rsidRDefault="00662573" w:rsidP="00662573">
      <w:pPr>
        <w:spacing w:line="360" w:lineRule="auto"/>
        <w:jc w:val="both"/>
        <w:rPr>
          <w:rFonts w:ascii="Times New Roman" w:hAnsi="Times New Roman" w:cs="Times New Roman"/>
          <w:b/>
          <w:i/>
          <w:sz w:val="24"/>
          <w:szCs w:val="24"/>
        </w:rPr>
      </w:pPr>
      <w:r>
        <w:rPr>
          <w:rFonts w:ascii="Times New Roman" w:hAnsi="Times New Roman" w:cs="Times New Roman"/>
          <w:b/>
          <w:i/>
          <w:sz w:val="24"/>
          <w:szCs w:val="24"/>
        </w:rPr>
        <w:t>5.2</w:t>
      </w:r>
      <w:r>
        <w:rPr>
          <w:rFonts w:ascii="Times New Roman" w:hAnsi="Times New Roman" w:cs="Times New Roman"/>
          <w:b/>
          <w:i/>
          <w:sz w:val="24"/>
          <w:szCs w:val="24"/>
        </w:rPr>
        <w:tab/>
      </w:r>
      <w:r w:rsidR="00716884" w:rsidRPr="00662573">
        <w:rPr>
          <w:rFonts w:ascii="Times New Roman" w:hAnsi="Times New Roman" w:cs="Times New Roman"/>
          <w:b/>
          <w:i/>
          <w:sz w:val="24"/>
          <w:szCs w:val="24"/>
        </w:rPr>
        <w:t>Maisir</w:t>
      </w:r>
    </w:p>
    <w:p w:rsidR="00716884" w:rsidRPr="00F407C4" w:rsidRDefault="00716884" w:rsidP="00F407C4">
      <w:pPr>
        <w:spacing w:line="360" w:lineRule="auto"/>
        <w:jc w:val="both"/>
        <w:rPr>
          <w:rFonts w:ascii="Times New Roman" w:hAnsi="Times New Roman" w:cs="Times New Roman"/>
          <w:sz w:val="24"/>
          <w:szCs w:val="24"/>
        </w:rPr>
      </w:pPr>
      <w:r w:rsidRPr="00F407C4">
        <w:rPr>
          <w:rFonts w:ascii="Times New Roman" w:hAnsi="Times New Roman" w:cs="Times New Roman"/>
          <w:sz w:val="24"/>
          <w:szCs w:val="24"/>
        </w:rPr>
        <w:t xml:space="preserve">Maisir in the Arabic word from the word al-yasar (easy) literally mean easily available wealth or game of chance </w:t>
      </w:r>
      <w:r w:rsidRPr="00F407C4">
        <w:rPr>
          <w:rStyle w:val="FootnoteReference"/>
          <w:rFonts w:ascii="Times New Roman" w:hAnsi="Times New Roman" w:cs="Times New Roman"/>
          <w:sz w:val="24"/>
          <w:szCs w:val="24"/>
        </w:rPr>
        <w:footnoteReference w:id="39"/>
      </w:r>
      <w:r w:rsidRPr="00F407C4">
        <w:rPr>
          <w:rFonts w:ascii="Times New Roman" w:hAnsi="Times New Roman" w:cs="Times New Roman"/>
          <w:sz w:val="24"/>
          <w:szCs w:val="24"/>
        </w:rPr>
        <w:t>or refers to acquisition of wealth by chance whether or not it deprived the other people’s right and cause harm to others</w:t>
      </w:r>
      <w:r w:rsidR="00EB5055">
        <w:rPr>
          <w:rFonts w:ascii="Times New Roman" w:hAnsi="Times New Roman" w:cs="Times New Roman"/>
          <w:sz w:val="24"/>
          <w:szCs w:val="24"/>
        </w:rPr>
        <w:t>,</w:t>
      </w:r>
      <w:r w:rsidRPr="00F407C4">
        <w:rPr>
          <w:rStyle w:val="FootnoteReference"/>
          <w:rFonts w:ascii="Times New Roman" w:hAnsi="Times New Roman" w:cs="Times New Roman"/>
          <w:sz w:val="24"/>
          <w:szCs w:val="24"/>
        </w:rPr>
        <w:footnoteReference w:id="40"/>
      </w:r>
      <w:r w:rsidR="00EB5055">
        <w:rPr>
          <w:rFonts w:ascii="Times New Roman" w:hAnsi="Times New Roman" w:cs="Times New Roman"/>
          <w:sz w:val="24"/>
          <w:szCs w:val="24"/>
        </w:rPr>
        <w:t xml:space="preserve"> </w:t>
      </w:r>
      <w:r w:rsidRPr="00F407C4">
        <w:rPr>
          <w:rFonts w:ascii="Times New Roman" w:hAnsi="Times New Roman" w:cs="Times New Roman"/>
          <w:sz w:val="24"/>
          <w:szCs w:val="24"/>
        </w:rPr>
        <w:t>or obtaining something easily without any hard work or receive benefits without working. According to al-Masri</w:t>
      </w:r>
      <w:r w:rsidRPr="00F407C4">
        <w:rPr>
          <w:rStyle w:val="FootnoteReference"/>
          <w:rFonts w:ascii="Times New Roman" w:hAnsi="Times New Roman" w:cs="Times New Roman"/>
          <w:sz w:val="24"/>
          <w:szCs w:val="24"/>
        </w:rPr>
        <w:footnoteReference w:id="41"/>
      </w:r>
      <w:r w:rsidRPr="00F407C4">
        <w:rPr>
          <w:rFonts w:ascii="Times New Roman" w:hAnsi="Times New Roman" w:cs="Times New Roman"/>
          <w:sz w:val="24"/>
          <w:szCs w:val="24"/>
        </w:rPr>
        <w:t xml:space="preserve"> Maisir and qimar has the same meaning, it is a game of chance with a combative relationship between two contracting parties, each of whom undertakes the risk of loss, and the loss of one means gain for the other.</w:t>
      </w:r>
    </w:p>
    <w:p w:rsidR="00716884" w:rsidRPr="00F407C4" w:rsidRDefault="00716884" w:rsidP="00F407C4">
      <w:pPr>
        <w:spacing w:line="360" w:lineRule="auto"/>
        <w:jc w:val="both"/>
        <w:rPr>
          <w:rFonts w:ascii="Times New Roman" w:hAnsi="Times New Roman" w:cs="Times New Roman"/>
          <w:sz w:val="24"/>
          <w:szCs w:val="24"/>
        </w:rPr>
      </w:pPr>
      <w:r w:rsidRPr="00F407C4">
        <w:rPr>
          <w:rFonts w:ascii="Times New Roman" w:hAnsi="Times New Roman" w:cs="Times New Roman"/>
          <w:sz w:val="24"/>
          <w:szCs w:val="24"/>
        </w:rPr>
        <w:t xml:space="preserve"> In other word if a person puts some of his money or a part of his wealth at stake wherein the amount of money at risk might bring huge sums of money or might not bring any. In the comm</w:t>
      </w:r>
      <w:r w:rsidR="001461B8">
        <w:rPr>
          <w:rFonts w:ascii="Times New Roman" w:hAnsi="Times New Roman" w:cs="Times New Roman"/>
          <w:sz w:val="24"/>
          <w:szCs w:val="24"/>
        </w:rPr>
        <w:t>on practice, Maisir is used to refer to</w:t>
      </w:r>
      <w:r w:rsidRPr="00F407C4">
        <w:rPr>
          <w:rFonts w:ascii="Times New Roman" w:hAnsi="Times New Roman" w:cs="Times New Roman"/>
          <w:sz w:val="24"/>
          <w:szCs w:val="24"/>
        </w:rPr>
        <w:t xml:space="preserve"> as a gamblin</w:t>
      </w:r>
      <w:r w:rsidR="00FA7A35">
        <w:rPr>
          <w:rFonts w:ascii="Times New Roman" w:hAnsi="Times New Roman" w:cs="Times New Roman"/>
          <w:sz w:val="24"/>
          <w:szCs w:val="24"/>
        </w:rPr>
        <w:t>g. Another term used in the Qur’an is the word of ‘</w:t>
      </w:r>
      <w:r w:rsidRPr="00F407C4">
        <w:rPr>
          <w:rFonts w:ascii="Times New Roman" w:hAnsi="Times New Roman" w:cs="Times New Roman"/>
          <w:sz w:val="24"/>
          <w:szCs w:val="24"/>
        </w:rPr>
        <w:t>azlam’ means gambling practices</w:t>
      </w:r>
      <w:r w:rsidR="00FA7A35">
        <w:rPr>
          <w:rFonts w:ascii="Times New Roman" w:hAnsi="Times New Roman" w:cs="Times New Roman"/>
          <w:sz w:val="24"/>
          <w:szCs w:val="24"/>
        </w:rPr>
        <w:t>.</w:t>
      </w:r>
      <w:r w:rsidRPr="00F407C4">
        <w:rPr>
          <w:rStyle w:val="FootnoteReference"/>
          <w:rFonts w:ascii="Times New Roman" w:hAnsi="Times New Roman" w:cs="Times New Roman"/>
          <w:sz w:val="24"/>
          <w:szCs w:val="24"/>
        </w:rPr>
        <w:footnoteReference w:id="42"/>
      </w:r>
    </w:p>
    <w:p w:rsidR="00716884" w:rsidRPr="00F407C4" w:rsidRDefault="00716884" w:rsidP="00F407C4">
      <w:pPr>
        <w:spacing w:line="360" w:lineRule="auto"/>
        <w:jc w:val="both"/>
        <w:rPr>
          <w:rFonts w:ascii="Times New Roman" w:hAnsi="Times New Roman" w:cs="Times New Roman"/>
          <w:sz w:val="24"/>
          <w:szCs w:val="24"/>
        </w:rPr>
      </w:pPr>
      <w:r w:rsidRPr="00F407C4">
        <w:rPr>
          <w:rFonts w:ascii="Times New Roman" w:hAnsi="Times New Roman" w:cs="Times New Roman"/>
          <w:sz w:val="24"/>
          <w:szCs w:val="24"/>
        </w:rPr>
        <w:t xml:space="preserve">The term Gambling in Islamic finance is defined as "any transaction conducted by the two parties to posses the ownership of a particular asset or service which causes benefit to one party and harm to others by linking a particular transaction </w:t>
      </w:r>
      <w:r w:rsidR="00FA7A35">
        <w:rPr>
          <w:rFonts w:ascii="Times New Roman" w:hAnsi="Times New Roman" w:cs="Times New Roman"/>
          <w:sz w:val="24"/>
          <w:szCs w:val="24"/>
        </w:rPr>
        <w:t>with an act or event.". Ibn al-</w:t>
      </w:r>
      <w:r w:rsidRPr="00F407C4">
        <w:rPr>
          <w:rFonts w:ascii="Times New Roman" w:hAnsi="Times New Roman" w:cs="Times New Roman"/>
          <w:sz w:val="24"/>
          <w:szCs w:val="24"/>
        </w:rPr>
        <w:t>Arabi defines maisir or qimar as “a game where each contestant seeks to defeat his partner in order to take over the property that provided for the winner</w:t>
      </w:r>
      <w:r w:rsidR="00FA7A35">
        <w:rPr>
          <w:rFonts w:ascii="Times New Roman" w:hAnsi="Times New Roman" w:cs="Times New Roman"/>
          <w:sz w:val="24"/>
          <w:szCs w:val="24"/>
        </w:rPr>
        <w:t>.”</w:t>
      </w:r>
    </w:p>
    <w:p w:rsidR="00716884" w:rsidRPr="00F407C4" w:rsidRDefault="00716884" w:rsidP="00F407C4">
      <w:pPr>
        <w:spacing w:line="360" w:lineRule="auto"/>
        <w:jc w:val="both"/>
        <w:rPr>
          <w:rFonts w:ascii="Times New Roman" w:hAnsi="Times New Roman" w:cs="Times New Roman"/>
          <w:sz w:val="24"/>
          <w:szCs w:val="24"/>
        </w:rPr>
      </w:pPr>
      <w:r w:rsidRPr="00F407C4">
        <w:rPr>
          <w:rFonts w:ascii="Times New Roman" w:hAnsi="Times New Roman" w:cs="Times New Roman"/>
          <w:sz w:val="24"/>
          <w:szCs w:val="24"/>
        </w:rPr>
        <w:t>The Qu’ran explicitly forbids gambling:</w:t>
      </w:r>
    </w:p>
    <w:p w:rsidR="00716884" w:rsidRPr="007B774D" w:rsidRDefault="00716884" w:rsidP="00FA7A35">
      <w:pPr>
        <w:spacing w:line="240" w:lineRule="auto"/>
        <w:ind w:left="1440" w:firstLine="60"/>
        <w:jc w:val="both"/>
        <w:rPr>
          <w:rFonts w:ascii="Times New Roman" w:hAnsi="Times New Roman" w:cs="Times New Roman"/>
          <w:i/>
        </w:rPr>
      </w:pPr>
      <w:r w:rsidRPr="007B774D">
        <w:rPr>
          <w:rFonts w:ascii="Times New Roman" w:hAnsi="Times New Roman" w:cs="Times New Roman"/>
          <w:i/>
        </w:rPr>
        <w:lastRenderedPageBreak/>
        <w:t>O you who believe, intoxicants, and gambling, and the altars of idols, and the games of chance are abominations of the devil; you shall avoid them, that you may succeed.</w:t>
      </w:r>
      <w:r w:rsidRPr="007B774D">
        <w:rPr>
          <w:rStyle w:val="FootnoteReference"/>
          <w:rFonts w:ascii="Times New Roman" w:hAnsi="Times New Roman" w:cs="Times New Roman"/>
          <w:i/>
        </w:rPr>
        <w:footnoteReference w:id="43"/>
      </w:r>
    </w:p>
    <w:p w:rsidR="00716884" w:rsidRPr="00F407C4" w:rsidRDefault="00716884" w:rsidP="00F407C4">
      <w:pPr>
        <w:spacing w:line="360" w:lineRule="auto"/>
        <w:jc w:val="both"/>
        <w:rPr>
          <w:rFonts w:ascii="Times New Roman" w:hAnsi="Times New Roman" w:cs="Times New Roman"/>
          <w:sz w:val="24"/>
          <w:szCs w:val="24"/>
        </w:rPr>
      </w:pPr>
      <w:r w:rsidRPr="00F407C4">
        <w:rPr>
          <w:rFonts w:ascii="Times New Roman" w:hAnsi="Times New Roman" w:cs="Times New Roman"/>
          <w:sz w:val="24"/>
          <w:szCs w:val="24"/>
        </w:rPr>
        <w:t xml:space="preserve"> Similarly, the Qur’an also states,</w:t>
      </w:r>
    </w:p>
    <w:p w:rsidR="00716884" w:rsidRPr="007B774D" w:rsidRDefault="007B774D" w:rsidP="007B774D">
      <w:pPr>
        <w:spacing w:line="240" w:lineRule="auto"/>
        <w:ind w:left="1440"/>
        <w:jc w:val="both"/>
        <w:rPr>
          <w:rFonts w:ascii="Times New Roman" w:hAnsi="Times New Roman" w:cs="Times New Roman"/>
        </w:rPr>
      </w:pPr>
      <w:r>
        <w:rPr>
          <w:rFonts w:ascii="Times New Roman" w:hAnsi="Times New Roman" w:cs="Times New Roman"/>
          <w:i/>
          <w:sz w:val="24"/>
          <w:szCs w:val="24"/>
        </w:rPr>
        <w:t xml:space="preserve"> </w:t>
      </w:r>
      <w:r w:rsidR="003E06C8" w:rsidRPr="007B774D">
        <w:rPr>
          <w:rFonts w:ascii="Times New Roman" w:hAnsi="Times New Roman" w:cs="Times New Roman"/>
        </w:rPr>
        <w:t xml:space="preserve">The </w:t>
      </w:r>
      <w:r w:rsidR="00716884" w:rsidRPr="007B774D">
        <w:rPr>
          <w:rFonts w:ascii="Times New Roman" w:hAnsi="Times New Roman" w:cs="Times New Roman"/>
        </w:rPr>
        <w:t>devil wants to provoke animosity and hatred among you through intoxicants and gambling, and to distract you from remembering God, and from observing the Contact Prayers (Salat). Will you then refrain?</w:t>
      </w:r>
      <w:r w:rsidR="00716884" w:rsidRPr="007B774D">
        <w:rPr>
          <w:rStyle w:val="FootnoteReference"/>
          <w:rFonts w:ascii="Times New Roman" w:hAnsi="Times New Roman" w:cs="Times New Roman"/>
        </w:rPr>
        <w:footnoteReference w:id="44"/>
      </w:r>
    </w:p>
    <w:p w:rsidR="00716884" w:rsidRPr="00F407C4" w:rsidRDefault="00716884" w:rsidP="00F407C4">
      <w:pPr>
        <w:spacing w:line="360" w:lineRule="auto"/>
        <w:jc w:val="both"/>
        <w:rPr>
          <w:rFonts w:ascii="Times New Roman" w:hAnsi="Times New Roman" w:cs="Times New Roman"/>
          <w:sz w:val="24"/>
          <w:szCs w:val="24"/>
        </w:rPr>
      </w:pPr>
      <w:r w:rsidRPr="00F407C4">
        <w:rPr>
          <w:rFonts w:ascii="Times New Roman" w:hAnsi="Times New Roman" w:cs="Times New Roman"/>
          <w:sz w:val="24"/>
          <w:szCs w:val="24"/>
        </w:rPr>
        <w:t xml:space="preserve"> In relation to the sale of goods, hadith have been variously interpre</w:t>
      </w:r>
      <w:r w:rsidR="003E06C8">
        <w:rPr>
          <w:rFonts w:ascii="Times New Roman" w:hAnsi="Times New Roman" w:cs="Times New Roman"/>
          <w:sz w:val="24"/>
          <w:szCs w:val="24"/>
        </w:rPr>
        <w:t xml:space="preserve">ted to refer both to maisir and </w:t>
      </w:r>
      <w:r w:rsidRPr="00F407C4">
        <w:rPr>
          <w:rFonts w:ascii="Times New Roman" w:hAnsi="Times New Roman" w:cs="Times New Roman"/>
          <w:sz w:val="24"/>
          <w:szCs w:val="24"/>
        </w:rPr>
        <w:t>to gharar because they forbid the sale of “the stroke of the diver” (i.e. anything a diver may return with after a dive), of unexamined goods a buyer touches (a game played by merchants in Mohammed’s time), and of the sale of goods determined by the throwing of a rock (another game).</w:t>
      </w:r>
      <w:r w:rsidRPr="00F407C4">
        <w:rPr>
          <w:rStyle w:val="FootnoteReference"/>
          <w:rFonts w:ascii="Times New Roman" w:hAnsi="Times New Roman" w:cs="Times New Roman"/>
          <w:sz w:val="24"/>
          <w:szCs w:val="24"/>
        </w:rPr>
        <w:footnoteReference w:id="45"/>
      </w:r>
      <w:r w:rsidRPr="00F407C4">
        <w:rPr>
          <w:rFonts w:ascii="Times New Roman" w:hAnsi="Times New Roman" w:cs="Times New Roman"/>
          <w:sz w:val="24"/>
          <w:szCs w:val="24"/>
        </w:rPr>
        <w:t xml:space="preserve"> One of such hadith is</w:t>
      </w:r>
    </w:p>
    <w:p w:rsidR="00716884" w:rsidRPr="003E06C8" w:rsidRDefault="00716884" w:rsidP="003E06C8">
      <w:pPr>
        <w:spacing w:line="240" w:lineRule="auto"/>
        <w:ind w:left="1440"/>
        <w:jc w:val="both"/>
        <w:rPr>
          <w:rFonts w:ascii="Times New Roman" w:hAnsi="Times New Roman" w:cs="Times New Roman"/>
        </w:rPr>
      </w:pPr>
      <w:r w:rsidRPr="003E06C8">
        <w:rPr>
          <w:rFonts w:ascii="Times New Roman" w:hAnsi="Times New Roman" w:cs="Times New Roman"/>
        </w:rPr>
        <w:t>Do not buy fish in the sea, for it is gharar. The Prophet forbade sale of what is in the wombs, sale of the contents of the udders, sale of a</w:t>
      </w:r>
      <w:r w:rsidR="003E06C8">
        <w:rPr>
          <w:rFonts w:ascii="Times New Roman" w:hAnsi="Times New Roman" w:cs="Times New Roman"/>
        </w:rPr>
        <w:t xml:space="preserve"> slave when he is runaway </w:t>
      </w:r>
      <w:r w:rsidR="003E06C8" w:rsidRPr="003E06C8">
        <w:rPr>
          <w:rFonts w:ascii="Times New Roman" w:hAnsi="Times New Roman" w:cs="Times New Roman"/>
        </w:rPr>
        <w:t>.</w:t>
      </w:r>
      <w:r w:rsidRPr="003E06C8">
        <w:rPr>
          <w:rFonts w:ascii="Times New Roman" w:hAnsi="Times New Roman" w:cs="Times New Roman"/>
        </w:rPr>
        <w:t xml:space="preserve">.. The Messenger of God forbade the [sale of] the </w:t>
      </w:r>
      <w:r w:rsidR="003E06C8" w:rsidRPr="003E06C8">
        <w:rPr>
          <w:rFonts w:ascii="Times New Roman" w:hAnsi="Times New Roman" w:cs="Times New Roman"/>
        </w:rPr>
        <w:t xml:space="preserve">copulation of the stallion … </w:t>
      </w:r>
      <w:r w:rsidRPr="003E06C8">
        <w:rPr>
          <w:rFonts w:ascii="Times New Roman" w:hAnsi="Times New Roman" w:cs="Times New Roman"/>
        </w:rPr>
        <w:t>He who purchases food shall not sell it until he [measures] it</w:t>
      </w:r>
      <w:r w:rsidR="003E06C8" w:rsidRPr="003E06C8">
        <w:rPr>
          <w:rFonts w:ascii="Times New Roman" w:hAnsi="Times New Roman" w:cs="Times New Roman"/>
        </w:rPr>
        <w:t>.</w:t>
      </w:r>
      <w:r w:rsidRPr="003E06C8">
        <w:rPr>
          <w:rStyle w:val="FootnoteReference"/>
          <w:rFonts w:ascii="Times New Roman" w:hAnsi="Times New Roman" w:cs="Times New Roman"/>
        </w:rPr>
        <w:footnoteReference w:id="46"/>
      </w:r>
    </w:p>
    <w:p w:rsidR="00716884" w:rsidRPr="00F407C4" w:rsidRDefault="00716884" w:rsidP="00F407C4">
      <w:pPr>
        <w:spacing w:line="360" w:lineRule="auto"/>
        <w:jc w:val="both"/>
        <w:rPr>
          <w:rFonts w:ascii="Times New Roman" w:hAnsi="Times New Roman" w:cs="Times New Roman"/>
          <w:sz w:val="24"/>
          <w:szCs w:val="24"/>
        </w:rPr>
      </w:pPr>
      <w:r w:rsidRPr="00F407C4">
        <w:rPr>
          <w:rFonts w:ascii="Times New Roman" w:hAnsi="Times New Roman" w:cs="Times New Roman"/>
          <w:sz w:val="24"/>
          <w:szCs w:val="24"/>
        </w:rPr>
        <w:t xml:space="preserve"> The similarities between gambling and these pre-Islamic game-sales are clear; the buyer will be forced to purchase, and the seller forced to sell, something of an unknown value.</w:t>
      </w:r>
      <w:r w:rsidRPr="00F407C4">
        <w:rPr>
          <w:rStyle w:val="FootnoteReference"/>
          <w:rFonts w:ascii="Times New Roman" w:hAnsi="Times New Roman" w:cs="Times New Roman"/>
          <w:sz w:val="24"/>
          <w:szCs w:val="24"/>
        </w:rPr>
        <w:footnoteReference w:id="47"/>
      </w:r>
    </w:p>
    <w:p w:rsidR="00716884" w:rsidRPr="00F407C4" w:rsidRDefault="00662573" w:rsidP="00F407C4">
      <w:pPr>
        <w:spacing w:line="360" w:lineRule="auto"/>
        <w:jc w:val="both"/>
        <w:rPr>
          <w:rFonts w:ascii="Times New Roman" w:hAnsi="Times New Roman" w:cs="Times New Roman"/>
          <w:b/>
          <w:i/>
          <w:sz w:val="24"/>
          <w:szCs w:val="24"/>
        </w:rPr>
      </w:pPr>
      <w:r>
        <w:rPr>
          <w:rFonts w:ascii="Times New Roman" w:hAnsi="Times New Roman" w:cs="Times New Roman"/>
          <w:b/>
          <w:sz w:val="24"/>
          <w:szCs w:val="24"/>
        </w:rPr>
        <w:t>5.3</w:t>
      </w:r>
      <w:r>
        <w:rPr>
          <w:rFonts w:ascii="Times New Roman" w:hAnsi="Times New Roman" w:cs="Times New Roman"/>
          <w:b/>
          <w:sz w:val="24"/>
          <w:szCs w:val="24"/>
        </w:rPr>
        <w:tab/>
      </w:r>
      <w:r w:rsidR="00716884" w:rsidRPr="00F407C4">
        <w:rPr>
          <w:rFonts w:ascii="Times New Roman" w:hAnsi="Times New Roman" w:cs="Times New Roman"/>
          <w:b/>
          <w:i/>
          <w:sz w:val="24"/>
          <w:szCs w:val="24"/>
        </w:rPr>
        <w:t>Ribah</w:t>
      </w:r>
    </w:p>
    <w:p w:rsidR="00716884" w:rsidRPr="00F407C4" w:rsidRDefault="00716884" w:rsidP="00F407C4">
      <w:pPr>
        <w:spacing w:line="360" w:lineRule="auto"/>
        <w:jc w:val="both"/>
        <w:rPr>
          <w:rFonts w:ascii="Times New Roman" w:hAnsi="Times New Roman" w:cs="Times New Roman"/>
          <w:sz w:val="24"/>
          <w:szCs w:val="24"/>
        </w:rPr>
      </w:pPr>
      <w:r w:rsidRPr="00F407C4">
        <w:rPr>
          <w:rFonts w:ascii="Times New Roman" w:hAnsi="Times New Roman" w:cs="Times New Roman"/>
          <w:sz w:val="24"/>
          <w:szCs w:val="24"/>
        </w:rPr>
        <w:t xml:space="preserve">The literal meaning of “ribā” is “increase, addition, expansion, or growth.. Allah (swt) said: </w:t>
      </w:r>
      <w:r w:rsidRPr="00F407C4">
        <w:rPr>
          <w:rFonts w:ascii="Times New Roman" w:hAnsi="Times New Roman" w:cs="Times New Roman"/>
          <w:i/>
          <w:sz w:val="24"/>
          <w:szCs w:val="24"/>
        </w:rPr>
        <w:t>“But when we pour down rain on it, it is stirred to life, and it swells (rabat)</w:t>
      </w:r>
      <w:r w:rsidRPr="00F407C4">
        <w:rPr>
          <w:rFonts w:ascii="Times New Roman" w:hAnsi="Times New Roman" w:cs="Times New Roman"/>
          <w:sz w:val="24"/>
          <w:szCs w:val="24"/>
        </w:rPr>
        <w:t>”</w:t>
      </w:r>
      <w:r w:rsidRPr="00F407C4">
        <w:rPr>
          <w:rStyle w:val="FootnoteReference"/>
          <w:rFonts w:ascii="Times New Roman" w:hAnsi="Times New Roman" w:cs="Times New Roman"/>
          <w:sz w:val="24"/>
          <w:szCs w:val="24"/>
        </w:rPr>
        <w:footnoteReference w:id="48"/>
      </w:r>
      <w:r w:rsidRPr="00F407C4">
        <w:rPr>
          <w:rFonts w:ascii="Times New Roman" w:hAnsi="Times New Roman" w:cs="Times New Roman"/>
          <w:sz w:val="24"/>
          <w:szCs w:val="24"/>
        </w:rPr>
        <w:t xml:space="preserve"> Thus, the growth that comes forth from the ground is labeled as ribā.  He (swt) also said</w:t>
      </w:r>
      <w:r w:rsidRPr="00F407C4">
        <w:rPr>
          <w:rFonts w:ascii="Times New Roman" w:hAnsi="Times New Roman" w:cs="Times New Roman"/>
          <w:i/>
          <w:sz w:val="24"/>
          <w:szCs w:val="24"/>
        </w:rPr>
        <w:t>: “Lest one party would be more numerous (’arba) than the other”</w:t>
      </w:r>
      <w:r w:rsidRPr="00F407C4">
        <w:rPr>
          <w:rStyle w:val="FootnoteReference"/>
          <w:rFonts w:ascii="Times New Roman" w:hAnsi="Times New Roman" w:cs="Times New Roman"/>
          <w:sz w:val="24"/>
          <w:szCs w:val="24"/>
        </w:rPr>
        <w:footnoteReference w:id="49"/>
      </w:r>
      <w:r w:rsidRPr="00F407C4">
        <w:rPr>
          <w:rFonts w:ascii="Times New Roman" w:hAnsi="Times New Roman" w:cs="Times New Roman"/>
          <w:sz w:val="24"/>
          <w:szCs w:val="24"/>
        </w:rPr>
        <w:t xml:space="preserve">Thus, an increase in number, amount, etc., is considered </w:t>
      </w:r>
      <w:r w:rsidRPr="00F407C4">
        <w:rPr>
          <w:rFonts w:ascii="Times New Roman" w:hAnsi="Times New Roman" w:cs="Times New Roman"/>
          <w:sz w:val="24"/>
          <w:szCs w:val="24"/>
        </w:rPr>
        <w:lastRenderedPageBreak/>
        <w:t>“ribā” in the lexical sense of the word</w:t>
      </w:r>
      <w:r w:rsidRPr="00F407C4">
        <w:rPr>
          <w:rStyle w:val="FootnoteReference"/>
          <w:rFonts w:ascii="Times New Roman" w:hAnsi="Times New Roman" w:cs="Times New Roman"/>
          <w:sz w:val="24"/>
          <w:szCs w:val="24"/>
        </w:rPr>
        <w:footnoteReference w:id="50"/>
      </w:r>
      <w:r w:rsidRPr="00F407C4">
        <w:rPr>
          <w:rFonts w:ascii="Times New Roman" w:hAnsi="Times New Roman" w:cs="Times New Roman"/>
          <w:sz w:val="24"/>
          <w:szCs w:val="24"/>
        </w:rPr>
        <w:t>., In the context of Islamic finance, it means an addition, however slight, over and above the principle of a loan or debt.</w:t>
      </w:r>
      <w:r w:rsidRPr="00F407C4">
        <w:rPr>
          <w:rStyle w:val="FootnoteReference"/>
          <w:rFonts w:ascii="Times New Roman" w:hAnsi="Times New Roman" w:cs="Times New Roman"/>
          <w:sz w:val="24"/>
          <w:szCs w:val="24"/>
        </w:rPr>
        <w:footnoteReference w:id="51"/>
      </w:r>
      <w:r w:rsidRPr="00F407C4">
        <w:rPr>
          <w:rFonts w:ascii="Times New Roman" w:hAnsi="Times New Roman" w:cs="Times New Roman"/>
          <w:sz w:val="24"/>
          <w:szCs w:val="24"/>
        </w:rPr>
        <w:t xml:space="preserve"> Hence ribä includes both usury and interest as used in modern commercial terminology.</w:t>
      </w:r>
      <w:r w:rsidRPr="00F407C4">
        <w:rPr>
          <w:rStyle w:val="FootnoteReference"/>
          <w:rFonts w:ascii="Times New Roman" w:hAnsi="Times New Roman" w:cs="Times New Roman"/>
          <w:sz w:val="24"/>
          <w:szCs w:val="24"/>
        </w:rPr>
        <w:footnoteReference w:id="52"/>
      </w:r>
    </w:p>
    <w:p w:rsidR="00716884" w:rsidRPr="00F407C4" w:rsidRDefault="00716884" w:rsidP="00F407C4">
      <w:pPr>
        <w:spacing w:line="360" w:lineRule="auto"/>
        <w:jc w:val="both"/>
        <w:rPr>
          <w:rFonts w:ascii="Times New Roman" w:hAnsi="Times New Roman" w:cs="Times New Roman"/>
          <w:sz w:val="24"/>
          <w:szCs w:val="24"/>
        </w:rPr>
      </w:pPr>
      <w:r w:rsidRPr="00F407C4">
        <w:rPr>
          <w:rFonts w:ascii="Times New Roman" w:hAnsi="Times New Roman" w:cs="Times New Roman"/>
          <w:sz w:val="24"/>
          <w:szCs w:val="24"/>
        </w:rPr>
        <w:t>Imam Sarakhsi, Al-Shirbīnī  and „Imārah define ribā as an excess from initial capital that required in a business transaction without any equivalent counter value that justified by sharīʿah. The additional sense in the context of ribā is the extra money earned from the capital in a way that is not justified by sharīʿah, whether it is small or big amount as indicated in the Qur’an.</w:t>
      </w:r>
      <w:r w:rsidRPr="00F407C4">
        <w:rPr>
          <w:rStyle w:val="FootnoteReference"/>
          <w:rFonts w:ascii="Times New Roman" w:hAnsi="Times New Roman" w:cs="Times New Roman"/>
          <w:sz w:val="24"/>
          <w:szCs w:val="24"/>
        </w:rPr>
        <w:footnoteReference w:id="53"/>
      </w:r>
    </w:p>
    <w:p w:rsidR="00716884" w:rsidRPr="00F407C4" w:rsidRDefault="00716884" w:rsidP="00F407C4">
      <w:pPr>
        <w:spacing w:line="360" w:lineRule="auto"/>
        <w:jc w:val="both"/>
        <w:rPr>
          <w:rFonts w:ascii="Times New Roman" w:hAnsi="Times New Roman" w:cs="Times New Roman"/>
          <w:sz w:val="24"/>
          <w:szCs w:val="24"/>
        </w:rPr>
      </w:pPr>
      <w:r w:rsidRPr="00F407C4">
        <w:rPr>
          <w:rFonts w:ascii="Times New Roman" w:hAnsi="Times New Roman" w:cs="Times New Roman"/>
          <w:sz w:val="24"/>
          <w:szCs w:val="24"/>
        </w:rPr>
        <w:t>According to Attia, 'ribä is one of the most significant financial prohibitions under the Shariah.</w:t>
      </w:r>
      <w:r w:rsidRPr="00F407C4">
        <w:rPr>
          <w:rStyle w:val="FootnoteReference"/>
          <w:rFonts w:ascii="Times New Roman" w:hAnsi="Times New Roman" w:cs="Times New Roman"/>
          <w:sz w:val="24"/>
          <w:szCs w:val="24"/>
        </w:rPr>
        <w:footnoteReference w:id="54"/>
      </w:r>
      <w:r w:rsidRPr="00F407C4">
        <w:rPr>
          <w:rFonts w:ascii="Times New Roman" w:hAnsi="Times New Roman" w:cs="Times New Roman"/>
          <w:sz w:val="24"/>
          <w:szCs w:val="24"/>
        </w:rPr>
        <w:t>. The rationale for the prohibition if riba can be traced to</w:t>
      </w:r>
    </w:p>
    <w:p w:rsidR="00716884" w:rsidRPr="00F407C4" w:rsidRDefault="00716884" w:rsidP="003E06C8">
      <w:pPr>
        <w:spacing w:line="240" w:lineRule="auto"/>
        <w:ind w:left="1440"/>
        <w:jc w:val="both"/>
        <w:rPr>
          <w:rFonts w:ascii="Times New Roman" w:hAnsi="Times New Roman" w:cs="Times New Roman"/>
          <w:i/>
          <w:sz w:val="24"/>
          <w:szCs w:val="24"/>
        </w:rPr>
      </w:pPr>
      <w:r w:rsidRPr="003E06C8">
        <w:rPr>
          <w:rFonts w:ascii="Times New Roman" w:hAnsi="Times New Roman" w:cs="Times New Roman"/>
        </w:rPr>
        <w:t>O Believers! Do not consume riba, doubling and redoubling, and fear God so that you may prosper</w:t>
      </w:r>
      <w:r w:rsidR="003E06C8" w:rsidRPr="003E06C8">
        <w:rPr>
          <w:rFonts w:ascii="Times New Roman" w:hAnsi="Times New Roman" w:cs="Times New Roman"/>
        </w:rPr>
        <w:t>.</w:t>
      </w:r>
      <w:r w:rsidRPr="00F407C4">
        <w:rPr>
          <w:rStyle w:val="FootnoteReference"/>
          <w:rFonts w:ascii="Times New Roman" w:hAnsi="Times New Roman" w:cs="Times New Roman"/>
          <w:i/>
          <w:sz w:val="24"/>
          <w:szCs w:val="24"/>
        </w:rPr>
        <w:footnoteReference w:id="55"/>
      </w:r>
    </w:p>
    <w:p w:rsidR="00716884" w:rsidRPr="00F407C4" w:rsidRDefault="00716884" w:rsidP="00F407C4">
      <w:pPr>
        <w:spacing w:line="360" w:lineRule="auto"/>
        <w:jc w:val="both"/>
        <w:rPr>
          <w:rFonts w:ascii="Times New Roman" w:hAnsi="Times New Roman" w:cs="Times New Roman"/>
          <w:sz w:val="24"/>
          <w:szCs w:val="24"/>
        </w:rPr>
      </w:pPr>
      <w:r w:rsidRPr="00F407C4">
        <w:rPr>
          <w:rFonts w:ascii="Times New Roman" w:hAnsi="Times New Roman" w:cs="Times New Roman"/>
          <w:sz w:val="24"/>
          <w:szCs w:val="24"/>
        </w:rPr>
        <w:t>Drawing upon Tabari, Abdullah Saeed enunciates:</w:t>
      </w:r>
    </w:p>
    <w:p w:rsidR="00716884" w:rsidRPr="00F407C4" w:rsidRDefault="00716884" w:rsidP="00F407C4">
      <w:pPr>
        <w:spacing w:line="360" w:lineRule="auto"/>
        <w:jc w:val="both"/>
        <w:rPr>
          <w:rFonts w:ascii="Times New Roman" w:hAnsi="Times New Roman" w:cs="Times New Roman"/>
          <w:sz w:val="24"/>
          <w:szCs w:val="24"/>
        </w:rPr>
      </w:pPr>
      <w:r w:rsidRPr="00F407C4">
        <w:rPr>
          <w:rFonts w:ascii="Times New Roman" w:hAnsi="Times New Roman" w:cs="Times New Roman"/>
          <w:sz w:val="24"/>
          <w:szCs w:val="24"/>
        </w:rPr>
        <w:t xml:space="preserve"> Explaining the meaning of the term used in verse 3:130, Tabari (d.310 AH), the well known commentator on the Qur'an, says:</w:t>
      </w:r>
    </w:p>
    <w:p w:rsidR="00716884" w:rsidRPr="003E06C8" w:rsidRDefault="00716884" w:rsidP="003E06C8">
      <w:pPr>
        <w:spacing w:line="240" w:lineRule="auto"/>
        <w:ind w:left="1440"/>
        <w:jc w:val="both"/>
        <w:rPr>
          <w:rFonts w:ascii="Times New Roman" w:hAnsi="Times New Roman" w:cs="Times New Roman"/>
        </w:rPr>
      </w:pPr>
      <w:r w:rsidRPr="003E06C8">
        <w:rPr>
          <w:rFonts w:ascii="Times New Roman" w:hAnsi="Times New Roman" w:cs="Times New Roman"/>
        </w:rPr>
        <w:t>Do not consume riba after having professed Islam as you have been consuming it before Islam. The way pre-Islamic2 Arabs used to consume riba was that one of them would have a debt repayable on a specific date. When that date came the creditor would demand repayment from the debtor. The latter would say, 'Defer the repayment of my debt; I will add to your wealth.' This is the riba which was doubled and redoubled.</w:t>
      </w:r>
      <w:r w:rsidRPr="003E06C8">
        <w:rPr>
          <w:rStyle w:val="FootnoteReference"/>
          <w:rFonts w:ascii="Times New Roman" w:hAnsi="Times New Roman" w:cs="Times New Roman"/>
        </w:rPr>
        <w:footnoteReference w:id="56"/>
      </w:r>
    </w:p>
    <w:p w:rsidR="00716884" w:rsidRPr="00F407C4" w:rsidRDefault="00716884" w:rsidP="00F407C4">
      <w:pPr>
        <w:spacing w:line="360" w:lineRule="auto"/>
        <w:jc w:val="both"/>
        <w:rPr>
          <w:rFonts w:ascii="Times New Roman" w:hAnsi="Times New Roman" w:cs="Times New Roman"/>
          <w:sz w:val="24"/>
          <w:szCs w:val="24"/>
        </w:rPr>
      </w:pPr>
      <w:r w:rsidRPr="00F407C4">
        <w:rPr>
          <w:rFonts w:ascii="Times New Roman" w:hAnsi="Times New Roman" w:cs="Times New Roman"/>
          <w:sz w:val="24"/>
          <w:szCs w:val="24"/>
        </w:rPr>
        <w:lastRenderedPageBreak/>
        <w:t xml:space="preserve"> Imam Malik (d. 179 AH), Imam ShafTi (d. 204 AH), Ibn Hanbal (d. 241 AH), Tabari (d. 310 AH), al-Baghawi (d. 510 AH), Ibn al-Arabi (d. 543 AH), Zamakhshari (d. 549 AH), al-Baydawi (d. 691 AH), and Jalaluddin Suyuti (d. 911 AH), have all described riba in the same manner</w:t>
      </w:r>
      <w:r w:rsidRPr="00F407C4">
        <w:rPr>
          <w:rStyle w:val="FootnoteReference"/>
          <w:rFonts w:ascii="Times New Roman" w:hAnsi="Times New Roman" w:cs="Times New Roman"/>
          <w:sz w:val="24"/>
          <w:szCs w:val="24"/>
        </w:rPr>
        <w:footnoteReference w:id="57"/>
      </w:r>
    </w:p>
    <w:p w:rsidR="00716884" w:rsidRPr="00F407C4" w:rsidRDefault="00716884" w:rsidP="00F407C4">
      <w:pPr>
        <w:spacing w:line="360" w:lineRule="auto"/>
        <w:jc w:val="both"/>
        <w:rPr>
          <w:rFonts w:ascii="Times New Roman" w:hAnsi="Times New Roman" w:cs="Times New Roman"/>
          <w:sz w:val="24"/>
          <w:szCs w:val="24"/>
        </w:rPr>
      </w:pPr>
      <w:r w:rsidRPr="00F407C4">
        <w:rPr>
          <w:rFonts w:ascii="Times New Roman" w:hAnsi="Times New Roman" w:cs="Times New Roman"/>
          <w:sz w:val="24"/>
          <w:szCs w:val="24"/>
        </w:rPr>
        <w:t xml:space="preserve">Ribā is forbidden in the Qur’an, the tradition of the Prophet (pbuh) (Sunnah), and consensus (’ijma). In the Qur’an, the strongest prohibition is provided in the verses [2:275– 279]:  </w:t>
      </w:r>
    </w:p>
    <w:p w:rsidR="00716884" w:rsidRPr="000C7899" w:rsidRDefault="00716884" w:rsidP="000C7899">
      <w:pPr>
        <w:spacing w:line="240" w:lineRule="auto"/>
        <w:ind w:left="1440"/>
        <w:jc w:val="both"/>
        <w:rPr>
          <w:rFonts w:ascii="Times New Roman" w:hAnsi="Times New Roman" w:cs="Times New Roman"/>
        </w:rPr>
      </w:pPr>
      <w:r w:rsidRPr="000C7899">
        <w:rPr>
          <w:rFonts w:ascii="Times New Roman" w:hAnsi="Times New Roman" w:cs="Times New Roman"/>
        </w:rPr>
        <w:t xml:space="preserve">Those who devour usury (ribā) will not stand except as stands one whom the Evil One by his touch hath driven to madness. That is because they say: ’trade is like ribā’, but Allah hath permitted trade and forbidden ribā. Those who after receiving direction from their Lord desist shall be pardoned for the past; their case is for God (to judge); but those who repeat (the offense) are companions of the fire. They will abide therein (forever). God will deprive usury of all blessing, and He will give increase for deeds of charity. For He loves not creatures ungrateful and wicked. O ye who believe! Fear God, and give up what remains of your demand for ribā if ye are indeed believers. If ye do not [give up ribā], take notice of a war from God and His Apostle; but if ye turn back ye shall have your capital sums, </w:t>
      </w:r>
      <w:r w:rsidR="000C7899" w:rsidRPr="000C7899">
        <w:rPr>
          <w:rFonts w:ascii="Times New Roman" w:hAnsi="Times New Roman" w:cs="Times New Roman"/>
        </w:rPr>
        <w:t>without increase or diminution.</w:t>
      </w:r>
    </w:p>
    <w:p w:rsidR="00716884" w:rsidRPr="00F407C4" w:rsidRDefault="00716884" w:rsidP="00F407C4">
      <w:pPr>
        <w:spacing w:line="360" w:lineRule="auto"/>
        <w:jc w:val="both"/>
        <w:rPr>
          <w:rFonts w:ascii="Times New Roman" w:hAnsi="Times New Roman" w:cs="Times New Roman"/>
          <w:sz w:val="24"/>
          <w:szCs w:val="24"/>
        </w:rPr>
      </w:pPr>
      <w:r w:rsidRPr="00F407C4">
        <w:rPr>
          <w:rFonts w:ascii="Times New Roman" w:hAnsi="Times New Roman" w:cs="Times New Roman"/>
          <w:sz w:val="24"/>
          <w:szCs w:val="24"/>
        </w:rPr>
        <w:t xml:space="preserve">There are many proofs of the prohibition of ribā in the Sunnah of the Prophet (pbuh). Among them is the following:  </w:t>
      </w:r>
    </w:p>
    <w:p w:rsidR="00716884" w:rsidRPr="00F407C4" w:rsidRDefault="00716884" w:rsidP="00F407C4">
      <w:pPr>
        <w:spacing w:line="360" w:lineRule="auto"/>
        <w:jc w:val="both"/>
        <w:rPr>
          <w:rFonts w:ascii="Times New Roman" w:hAnsi="Times New Roman" w:cs="Times New Roman"/>
          <w:sz w:val="24"/>
          <w:szCs w:val="24"/>
        </w:rPr>
      </w:pPr>
      <w:r w:rsidRPr="00F407C4">
        <w:rPr>
          <w:rFonts w:ascii="Times New Roman" w:hAnsi="Times New Roman" w:cs="Times New Roman"/>
          <w:sz w:val="24"/>
          <w:szCs w:val="24"/>
        </w:rPr>
        <w:t xml:space="preserve">From Abu Huraira: </w:t>
      </w:r>
    </w:p>
    <w:p w:rsidR="00716884" w:rsidRPr="00F407C4" w:rsidRDefault="00716884" w:rsidP="00833A19">
      <w:pPr>
        <w:spacing w:line="240" w:lineRule="auto"/>
        <w:ind w:left="1440"/>
        <w:jc w:val="both"/>
        <w:rPr>
          <w:rFonts w:ascii="Times New Roman" w:hAnsi="Times New Roman" w:cs="Times New Roman"/>
          <w:i/>
          <w:sz w:val="24"/>
          <w:szCs w:val="24"/>
        </w:rPr>
      </w:pPr>
      <w:r w:rsidRPr="00833A19">
        <w:rPr>
          <w:rFonts w:ascii="Times New Roman" w:hAnsi="Times New Roman" w:cs="Times New Roman"/>
        </w:rPr>
        <w:t>The Prophet (pbuh) said, "Avoid the seven great destructive sins." They (the people!) asked, "O Allah's Apostle! What are they?" He said, "To join partners in worship with Allah; to practice sorcery; to kill the life which Allah has forbidden except for a just cause (according to Islamic law); to eat up usury (Ribā), to eat up the property of an orphan; to give one's back to the enemy and fleeing from the battle-field at the time of fighting and to accuse chaste women who never even think of anything touching chastit</w:t>
      </w:r>
      <w:r w:rsidR="00833A19" w:rsidRPr="00833A19">
        <w:rPr>
          <w:rFonts w:ascii="Times New Roman" w:hAnsi="Times New Roman" w:cs="Times New Roman"/>
        </w:rPr>
        <w:t>y and are good believers.</w:t>
      </w:r>
      <w:r w:rsidRPr="00F407C4">
        <w:rPr>
          <w:rFonts w:ascii="Times New Roman" w:hAnsi="Times New Roman" w:cs="Times New Roman"/>
          <w:i/>
          <w:sz w:val="24"/>
          <w:szCs w:val="24"/>
        </w:rPr>
        <w:t xml:space="preserve"> (Bukhari &amp; Nasai) </w:t>
      </w:r>
    </w:p>
    <w:p w:rsidR="00716884" w:rsidRPr="00F407C4" w:rsidRDefault="00716884" w:rsidP="00F407C4">
      <w:pPr>
        <w:spacing w:line="360" w:lineRule="auto"/>
        <w:jc w:val="both"/>
        <w:rPr>
          <w:rFonts w:ascii="Times New Roman" w:hAnsi="Times New Roman" w:cs="Times New Roman"/>
          <w:sz w:val="24"/>
          <w:szCs w:val="24"/>
        </w:rPr>
      </w:pPr>
      <w:r w:rsidRPr="00F407C4">
        <w:rPr>
          <w:rFonts w:ascii="Times New Roman" w:hAnsi="Times New Roman" w:cs="Times New Roman"/>
          <w:sz w:val="24"/>
          <w:szCs w:val="24"/>
        </w:rPr>
        <w:t xml:space="preserve">Jabir reported: </w:t>
      </w:r>
    </w:p>
    <w:p w:rsidR="00716884" w:rsidRPr="00833A19" w:rsidRDefault="00716884" w:rsidP="00833A19">
      <w:pPr>
        <w:spacing w:line="240" w:lineRule="auto"/>
        <w:ind w:left="1440"/>
        <w:jc w:val="both"/>
        <w:rPr>
          <w:rFonts w:ascii="Times New Roman" w:hAnsi="Times New Roman" w:cs="Times New Roman"/>
        </w:rPr>
      </w:pPr>
      <w:r w:rsidRPr="00833A19">
        <w:rPr>
          <w:rFonts w:ascii="Times New Roman" w:hAnsi="Times New Roman" w:cs="Times New Roman"/>
        </w:rPr>
        <w:t xml:space="preserve">Allah's Messenger (pbuh) cursed the accepter of interest and its payer, and one who records it, and the two witnesses, and he said: They are all equal. (Muslim) </w:t>
      </w:r>
    </w:p>
    <w:p w:rsidR="00716884" w:rsidRPr="00F407C4" w:rsidRDefault="00716884" w:rsidP="00F407C4">
      <w:pPr>
        <w:spacing w:line="360" w:lineRule="auto"/>
        <w:jc w:val="both"/>
        <w:rPr>
          <w:rFonts w:ascii="Times New Roman" w:hAnsi="Times New Roman" w:cs="Times New Roman"/>
          <w:sz w:val="24"/>
          <w:szCs w:val="24"/>
        </w:rPr>
      </w:pPr>
      <w:r w:rsidRPr="00F407C4">
        <w:rPr>
          <w:rFonts w:ascii="Times New Roman" w:hAnsi="Times New Roman" w:cs="Times New Roman"/>
          <w:sz w:val="24"/>
          <w:szCs w:val="24"/>
        </w:rPr>
        <w:t xml:space="preserve"> From Ibn Masud: </w:t>
      </w:r>
    </w:p>
    <w:p w:rsidR="00716884" w:rsidRPr="00F407C4" w:rsidRDefault="00716884" w:rsidP="00833A19">
      <w:pPr>
        <w:spacing w:line="240" w:lineRule="auto"/>
        <w:ind w:left="1440"/>
        <w:jc w:val="both"/>
        <w:rPr>
          <w:rFonts w:ascii="Times New Roman" w:hAnsi="Times New Roman" w:cs="Times New Roman"/>
          <w:i/>
          <w:sz w:val="24"/>
          <w:szCs w:val="24"/>
        </w:rPr>
      </w:pPr>
      <w:r w:rsidRPr="00833A19">
        <w:rPr>
          <w:rFonts w:ascii="Times New Roman" w:hAnsi="Times New Roman" w:cs="Times New Roman"/>
        </w:rPr>
        <w:lastRenderedPageBreak/>
        <w:t>The Prophet (pbuh) said: “There are seventy three different types of ribā, the least of which is equivalent to bedding one’s mother, and the worst of which is equivalent to de</w:t>
      </w:r>
      <w:r w:rsidR="00833A19" w:rsidRPr="00833A19">
        <w:rPr>
          <w:rFonts w:ascii="Times New Roman" w:hAnsi="Times New Roman" w:cs="Times New Roman"/>
        </w:rPr>
        <w:t>stroying the honor of a Muslim.</w:t>
      </w:r>
      <w:r w:rsidRPr="00833A19">
        <w:rPr>
          <w:rFonts w:ascii="Times New Roman" w:hAnsi="Times New Roman" w:cs="Times New Roman"/>
          <w:sz w:val="24"/>
          <w:szCs w:val="24"/>
        </w:rPr>
        <w:t xml:space="preserve"> (Al-Hakim)</w:t>
      </w:r>
      <w:r w:rsidRPr="00F407C4">
        <w:rPr>
          <w:rFonts w:ascii="Times New Roman" w:hAnsi="Times New Roman" w:cs="Times New Roman"/>
          <w:i/>
          <w:sz w:val="24"/>
          <w:szCs w:val="24"/>
        </w:rPr>
        <w:t xml:space="preserve"> </w:t>
      </w:r>
    </w:p>
    <w:p w:rsidR="00716884" w:rsidRPr="00F407C4" w:rsidRDefault="00716884" w:rsidP="00F407C4">
      <w:pPr>
        <w:spacing w:line="360" w:lineRule="auto"/>
        <w:jc w:val="both"/>
        <w:rPr>
          <w:rFonts w:ascii="Times New Roman" w:hAnsi="Times New Roman" w:cs="Times New Roman"/>
          <w:sz w:val="24"/>
          <w:szCs w:val="24"/>
        </w:rPr>
      </w:pPr>
      <w:r w:rsidRPr="00F407C4">
        <w:rPr>
          <w:rFonts w:ascii="Times New Roman" w:hAnsi="Times New Roman" w:cs="Times New Roman"/>
          <w:sz w:val="24"/>
          <w:szCs w:val="24"/>
        </w:rPr>
        <w:t xml:space="preserve">From Abu Sa‘id al-Khudri: </w:t>
      </w:r>
    </w:p>
    <w:p w:rsidR="00716884" w:rsidRPr="00833A19" w:rsidRDefault="00716884" w:rsidP="00833A19">
      <w:pPr>
        <w:spacing w:line="240" w:lineRule="auto"/>
        <w:ind w:left="1440"/>
        <w:jc w:val="both"/>
        <w:rPr>
          <w:rFonts w:ascii="Times New Roman" w:hAnsi="Times New Roman" w:cs="Times New Roman"/>
          <w:sz w:val="24"/>
          <w:szCs w:val="24"/>
        </w:rPr>
      </w:pPr>
      <w:r w:rsidRPr="00833A19">
        <w:rPr>
          <w:rFonts w:ascii="Times New Roman" w:hAnsi="Times New Roman" w:cs="Times New Roman"/>
        </w:rPr>
        <w:t>The Prophet (pbuh) said: “Do not sell gold for gold except when it is like for like, and do not increase one over the other; do not sell silver for silver except when it is like for like, and do not increase one over the other; and do not sell what is away [from among these] fo</w:t>
      </w:r>
      <w:r w:rsidR="00833A19" w:rsidRPr="00833A19">
        <w:rPr>
          <w:rFonts w:ascii="Times New Roman" w:hAnsi="Times New Roman" w:cs="Times New Roman"/>
        </w:rPr>
        <w:t>r what is ready.</w:t>
      </w:r>
      <w:r w:rsidRPr="00833A19">
        <w:rPr>
          <w:rFonts w:ascii="Times New Roman" w:hAnsi="Times New Roman" w:cs="Times New Roman"/>
        </w:rPr>
        <w:t xml:space="preserve"> </w:t>
      </w:r>
      <w:r w:rsidRPr="00833A19">
        <w:rPr>
          <w:rFonts w:ascii="Times New Roman" w:hAnsi="Times New Roman" w:cs="Times New Roman"/>
          <w:sz w:val="24"/>
          <w:szCs w:val="24"/>
        </w:rPr>
        <w:t>(Bukhari and Muslim)</w:t>
      </w:r>
    </w:p>
    <w:p w:rsidR="00716884" w:rsidRPr="00F407C4" w:rsidRDefault="00716884" w:rsidP="00F407C4">
      <w:pPr>
        <w:spacing w:line="360" w:lineRule="auto"/>
        <w:jc w:val="both"/>
        <w:rPr>
          <w:rFonts w:ascii="Times New Roman" w:hAnsi="Times New Roman" w:cs="Times New Roman"/>
          <w:sz w:val="24"/>
          <w:szCs w:val="24"/>
        </w:rPr>
      </w:pPr>
      <w:r w:rsidRPr="00F407C4">
        <w:rPr>
          <w:rFonts w:ascii="Times New Roman" w:hAnsi="Times New Roman" w:cs="Times New Roman"/>
          <w:sz w:val="24"/>
          <w:szCs w:val="24"/>
        </w:rPr>
        <w:t>Any Islamic contract can be rendered as Ribā if it losses it’s substantial element. Some examples include, a Mudarabah contract, whereby the Mudarib or the financial manager guarantees the capital invested by the Rabb-al-Maal.  Likewise, in a Musharakah contract, whereby one partner guarantees the capital of another partner, the partnership contract becomes void and Ribā is constituted. Since the substance for both of those contracts is profit and risk sharing, rather than risk shifting.</w:t>
      </w:r>
    </w:p>
    <w:p w:rsidR="00716884" w:rsidRPr="00F407C4" w:rsidRDefault="00716884" w:rsidP="00F407C4">
      <w:pPr>
        <w:spacing w:line="360" w:lineRule="auto"/>
        <w:jc w:val="both"/>
        <w:rPr>
          <w:rFonts w:ascii="Times New Roman" w:hAnsi="Times New Roman" w:cs="Times New Roman"/>
          <w:sz w:val="24"/>
          <w:szCs w:val="24"/>
        </w:rPr>
      </w:pPr>
      <w:r w:rsidRPr="00F407C4">
        <w:rPr>
          <w:rFonts w:ascii="Times New Roman" w:hAnsi="Times New Roman" w:cs="Times New Roman"/>
          <w:sz w:val="24"/>
          <w:szCs w:val="24"/>
        </w:rPr>
        <w:t>There exists a controversy amongst scholars as to the divisions of riba with some classifying same into two i.e. ribā al-nasiah and ribā al-fadhl</w:t>
      </w:r>
      <w:r w:rsidRPr="00F407C4">
        <w:rPr>
          <w:rStyle w:val="FootnoteReference"/>
          <w:rFonts w:ascii="Times New Roman" w:hAnsi="Times New Roman" w:cs="Times New Roman"/>
          <w:sz w:val="24"/>
          <w:szCs w:val="24"/>
        </w:rPr>
        <w:footnoteReference w:id="58"/>
      </w:r>
      <w:r w:rsidRPr="00F407C4">
        <w:rPr>
          <w:rFonts w:ascii="Times New Roman" w:hAnsi="Times New Roman" w:cs="Times New Roman"/>
          <w:sz w:val="24"/>
          <w:szCs w:val="24"/>
        </w:rPr>
        <w:t xml:space="preserve">  while some classify same into three</w:t>
      </w:r>
      <w:r w:rsidRPr="00F407C4">
        <w:rPr>
          <w:rStyle w:val="FootnoteReference"/>
          <w:rFonts w:ascii="Times New Roman" w:hAnsi="Times New Roman" w:cs="Times New Roman"/>
          <w:sz w:val="24"/>
          <w:szCs w:val="24"/>
        </w:rPr>
        <w:footnoteReference w:id="59"/>
      </w:r>
      <w:r w:rsidRPr="00F407C4">
        <w:rPr>
          <w:rFonts w:ascii="Times New Roman" w:hAnsi="Times New Roman" w:cs="Times New Roman"/>
          <w:sz w:val="24"/>
          <w:szCs w:val="24"/>
        </w:rPr>
        <w:t xml:space="preserve"> with the addition of ribā al-yad.</w:t>
      </w:r>
    </w:p>
    <w:p w:rsidR="00716884" w:rsidRPr="00F407C4" w:rsidRDefault="00716884" w:rsidP="00F407C4">
      <w:pPr>
        <w:spacing w:line="360" w:lineRule="auto"/>
        <w:jc w:val="both"/>
        <w:rPr>
          <w:rFonts w:ascii="Times New Roman" w:hAnsi="Times New Roman" w:cs="Times New Roman"/>
          <w:sz w:val="24"/>
          <w:szCs w:val="24"/>
        </w:rPr>
      </w:pPr>
      <w:r w:rsidRPr="00F407C4">
        <w:rPr>
          <w:rFonts w:ascii="Times New Roman" w:hAnsi="Times New Roman" w:cs="Times New Roman"/>
          <w:sz w:val="24"/>
          <w:szCs w:val="24"/>
        </w:rPr>
        <w:t>Ribā al-Nasīah (riba in credit) occurs when there is delay in the settlement or payment for one or both counter values as the interest charged on loans in conventional bank</w:t>
      </w:r>
      <w:r w:rsidRPr="00F407C4">
        <w:rPr>
          <w:rStyle w:val="FootnoteReference"/>
          <w:rFonts w:ascii="Times New Roman" w:hAnsi="Times New Roman" w:cs="Times New Roman"/>
          <w:sz w:val="24"/>
          <w:szCs w:val="24"/>
        </w:rPr>
        <w:footnoteReference w:id="60"/>
      </w:r>
      <w:r w:rsidRPr="00F407C4">
        <w:rPr>
          <w:rFonts w:ascii="Times New Roman" w:hAnsi="Times New Roman" w:cs="Times New Roman"/>
          <w:sz w:val="24"/>
          <w:szCs w:val="24"/>
        </w:rPr>
        <w:t>. Ribā al-Fadh (riba in surplus) occurs when a sale with a surplus or excess charged in the exchange of a specific commodity in barter transactions for example changing a latest model of gold of 100 gram with an old model of 110 gram.</w:t>
      </w:r>
      <w:r w:rsidRPr="00F407C4">
        <w:rPr>
          <w:rStyle w:val="FootnoteReference"/>
          <w:rFonts w:ascii="Times New Roman" w:hAnsi="Times New Roman" w:cs="Times New Roman"/>
          <w:sz w:val="24"/>
          <w:szCs w:val="24"/>
        </w:rPr>
        <w:footnoteReference w:id="61"/>
      </w:r>
      <w:r w:rsidRPr="00F407C4">
        <w:rPr>
          <w:rFonts w:ascii="Times New Roman" w:hAnsi="Times New Roman" w:cs="Times New Roman"/>
          <w:sz w:val="24"/>
          <w:szCs w:val="24"/>
        </w:rPr>
        <w:t xml:space="preserve"> Ribā al-yad. Is sale with deferment on both price and subject matter or one of them.</w:t>
      </w:r>
      <w:r w:rsidRPr="00F407C4">
        <w:rPr>
          <w:rStyle w:val="FootnoteReference"/>
          <w:rFonts w:ascii="Times New Roman" w:hAnsi="Times New Roman" w:cs="Times New Roman"/>
          <w:sz w:val="24"/>
          <w:szCs w:val="24"/>
        </w:rPr>
        <w:footnoteReference w:id="62"/>
      </w:r>
    </w:p>
    <w:p w:rsidR="00E6044E" w:rsidRDefault="00E6044E" w:rsidP="00F407C4">
      <w:pPr>
        <w:spacing w:line="360" w:lineRule="auto"/>
        <w:jc w:val="both"/>
        <w:rPr>
          <w:rFonts w:ascii="Times New Roman" w:hAnsi="Times New Roman" w:cs="Times New Roman"/>
          <w:b/>
          <w:sz w:val="24"/>
          <w:szCs w:val="24"/>
        </w:rPr>
      </w:pPr>
    </w:p>
    <w:p w:rsidR="00716884" w:rsidRPr="00F407C4" w:rsidRDefault="00662573" w:rsidP="00F407C4">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5.4</w:t>
      </w:r>
      <w:r>
        <w:rPr>
          <w:rFonts w:ascii="Times New Roman" w:hAnsi="Times New Roman" w:cs="Times New Roman"/>
          <w:b/>
          <w:sz w:val="24"/>
          <w:szCs w:val="24"/>
        </w:rPr>
        <w:tab/>
      </w:r>
      <w:r w:rsidR="00716884" w:rsidRPr="00F407C4">
        <w:rPr>
          <w:rFonts w:ascii="Times New Roman" w:hAnsi="Times New Roman" w:cs="Times New Roman"/>
          <w:b/>
          <w:sz w:val="24"/>
          <w:szCs w:val="24"/>
        </w:rPr>
        <w:t xml:space="preserve">Lack of Pension </w:t>
      </w:r>
      <w:r w:rsidRPr="00F407C4">
        <w:rPr>
          <w:rFonts w:ascii="Times New Roman" w:hAnsi="Times New Roman" w:cs="Times New Roman"/>
          <w:b/>
          <w:sz w:val="24"/>
          <w:szCs w:val="24"/>
        </w:rPr>
        <w:t>Shari’ah</w:t>
      </w:r>
      <w:r w:rsidR="00716884" w:rsidRPr="00F407C4">
        <w:rPr>
          <w:rFonts w:ascii="Times New Roman" w:hAnsi="Times New Roman" w:cs="Times New Roman"/>
          <w:b/>
          <w:sz w:val="24"/>
          <w:szCs w:val="24"/>
        </w:rPr>
        <w:t xml:space="preserve"> Advisory Board</w:t>
      </w:r>
    </w:p>
    <w:p w:rsidR="00716884" w:rsidRPr="00F407C4" w:rsidRDefault="00716884" w:rsidP="00F407C4">
      <w:pPr>
        <w:spacing w:line="360" w:lineRule="auto"/>
        <w:jc w:val="both"/>
        <w:rPr>
          <w:rFonts w:ascii="Times New Roman" w:hAnsi="Times New Roman" w:cs="Times New Roman"/>
          <w:sz w:val="24"/>
          <w:szCs w:val="24"/>
        </w:rPr>
      </w:pPr>
      <w:r w:rsidRPr="00F407C4">
        <w:rPr>
          <w:rFonts w:ascii="Times New Roman" w:hAnsi="Times New Roman" w:cs="Times New Roman"/>
          <w:sz w:val="24"/>
          <w:szCs w:val="24"/>
        </w:rPr>
        <w:t>Over the years the management of pension scheme in Nigeria has been inundated by multiple and diverse problems such as inadequate funding, inadequate subventions and grants, poor documentation and filing in pension offices, direct release of pension funds to underwriters, accumulated arrears of pensioners, inability to determine appropriate investment portfolios, lack of accountability, corruption and embezzlement of funds. Others include cumbersome clearance procedures, incompetence and inexperience of pension staff added to poor human relations, lack of etiquette and simple courtesy.</w:t>
      </w:r>
      <w:r w:rsidR="00833A19">
        <w:rPr>
          <w:rFonts w:ascii="Times New Roman" w:hAnsi="Times New Roman" w:cs="Times New Roman"/>
          <w:sz w:val="24"/>
          <w:szCs w:val="24"/>
        </w:rPr>
        <w:t xml:space="preserve"> </w:t>
      </w:r>
      <w:r w:rsidRPr="00F407C4">
        <w:rPr>
          <w:rFonts w:ascii="Times New Roman" w:hAnsi="Times New Roman" w:cs="Times New Roman"/>
          <w:sz w:val="24"/>
          <w:szCs w:val="24"/>
        </w:rPr>
        <w:t xml:space="preserve">However, from the Islamic oriented perspective, it would be imperative to include as one of the challenges to the administration of pension scheme in Nigeria is the lack of </w:t>
      </w:r>
      <w:r w:rsidR="00833A19" w:rsidRPr="00F407C4">
        <w:rPr>
          <w:rFonts w:ascii="Times New Roman" w:hAnsi="Times New Roman" w:cs="Times New Roman"/>
          <w:sz w:val="24"/>
          <w:szCs w:val="24"/>
        </w:rPr>
        <w:t>Shari’ah</w:t>
      </w:r>
      <w:r w:rsidRPr="00F407C4">
        <w:rPr>
          <w:rFonts w:ascii="Times New Roman" w:hAnsi="Times New Roman" w:cs="Times New Roman"/>
          <w:sz w:val="24"/>
          <w:szCs w:val="24"/>
        </w:rPr>
        <w:t xml:space="preserve"> Pension Advisory Board.</w:t>
      </w:r>
    </w:p>
    <w:p w:rsidR="00716884" w:rsidRPr="00F407C4" w:rsidRDefault="00716884" w:rsidP="00F407C4">
      <w:pPr>
        <w:spacing w:line="360" w:lineRule="auto"/>
        <w:jc w:val="both"/>
        <w:rPr>
          <w:rFonts w:ascii="Times New Roman" w:hAnsi="Times New Roman" w:cs="Times New Roman"/>
          <w:sz w:val="24"/>
          <w:szCs w:val="24"/>
        </w:rPr>
      </w:pPr>
      <w:r w:rsidRPr="00F407C4">
        <w:rPr>
          <w:rFonts w:ascii="Times New Roman" w:hAnsi="Times New Roman" w:cs="Times New Roman"/>
          <w:sz w:val="24"/>
          <w:szCs w:val="24"/>
        </w:rPr>
        <w:t>A Shari'ah board is an independent body entrusted with directing, reviewing, and supervising the activities of Islamic financial institutions for the purpose of Shari'ah compliance</w:t>
      </w:r>
      <w:r w:rsidRPr="00F407C4">
        <w:rPr>
          <w:rStyle w:val="FootnoteReference"/>
          <w:rFonts w:ascii="Times New Roman" w:hAnsi="Times New Roman" w:cs="Times New Roman"/>
          <w:sz w:val="24"/>
          <w:szCs w:val="24"/>
        </w:rPr>
        <w:footnoteReference w:id="63"/>
      </w:r>
      <w:r w:rsidRPr="00F407C4">
        <w:rPr>
          <w:rFonts w:ascii="Times New Roman" w:hAnsi="Times New Roman" w:cs="Times New Roman"/>
          <w:sz w:val="24"/>
          <w:szCs w:val="24"/>
        </w:rPr>
        <w:t>. Shari'ah governance is considered a unique kind of governance in financial architecture, as it is concerned with the religious aspects of the overall activities of Islamic financial institutions as compared to the conventional concept of corporate governance. The institution of Shari'ah board is one of the most important components of corporate governance of Islamic financial institutions. The Shari'ah board has profound influence on the day-to-day practice of finance in providing advisory and consultative services.</w:t>
      </w:r>
    </w:p>
    <w:p w:rsidR="00716884" w:rsidRPr="00F407C4" w:rsidRDefault="00716884" w:rsidP="00F407C4">
      <w:pPr>
        <w:spacing w:line="360" w:lineRule="auto"/>
        <w:jc w:val="both"/>
        <w:rPr>
          <w:rFonts w:ascii="Times New Roman" w:hAnsi="Times New Roman" w:cs="Times New Roman"/>
          <w:sz w:val="24"/>
          <w:szCs w:val="24"/>
        </w:rPr>
      </w:pPr>
      <w:r w:rsidRPr="00F407C4">
        <w:rPr>
          <w:rFonts w:ascii="Times New Roman" w:hAnsi="Times New Roman" w:cs="Times New Roman"/>
          <w:sz w:val="24"/>
          <w:szCs w:val="24"/>
        </w:rPr>
        <w:t xml:space="preserve"> The board is expected to be an independent body of experts knowledgeable in fiqh al-muamalat and entrusted with the duty of directing, reviewing and supervising the activities of the Commission, to insure Shari'ah compliance. The Shari'ah board reviews transactions and actions of Commission to ensure their adherence to Islamic law. It is the responsibility of the Shari'ah board to work with management to ensure that everything relating to the financial product or service is in compliance with the principles and precepts of the Shari'ah and, equally as important, to ensure that there is sufficient transparency in the Shari'ah process so that the product or service is understood by consumers or investors to be Shari'ah compliant.</w:t>
      </w:r>
    </w:p>
    <w:p w:rsidR="00716884" w:rsidRPr="00F407C4" w:rsidRDefault="00716884" w:rsidP="00F407C4">
      <w:pPr>
        <w:spacing w:line="360" w:lineRule="auto"/>
        <w:jc w:val="both"/>
        <w:rPr>
          <w:rFonts w:ascii="Times New Roman" w:hAnsi="Times New Roman" w:cs="Times New Roman"/>
          <w:sz w:val="24"/>
          <w:szCs w:val="24"/>
        </w:rPr>
      </w:pPr>
      <w:r w:rsidRPr="00F407C4">
        <w:rPr>
          <w:rFonts w:ascii="Times New Roman" w:hAnsi="Times New Roman" w:cs="Times New Roman"/>
          <w:sz w:val="24"/>
          <w:szCs w:val="24"/>
        </w:rPr>
        <w:lastRenderedPageBreak/>
        <w:t>The Pension Reform Act established a body called National Pension Commission to serve as the major regulatory organ to regulate all the pension system in the country</w:t>
      </w:r>
      <w:r w:rsidRPr="00F407C4">
        <w:rPr>
          <w:rStyle w:val="FootnoteReference"/>
          <w:rFonts w:ascii="Times New Roman" w:hAnsi="Times New Roman" w:cs="Times New Roman"/>
          <w:sz w:val="24"/>
          <w:szCs w:val="24"/>
        </w:rPr>
        <w:footnoteReference w:id="64"/>
      </w:r>
      <w:r w:rsidRPr="00F407C4">
        <w:rPr>
          <w:rFonts w:ascii="Times New Roman" w:hAnsi="Times New Roman" w:cs="Times New Roman"/>
          <w:sz w:val="24"/>
          <w:szCs w:val="24"/>
        </w:rPr>
        <w:t>.  The scheme provides that the National Pension Commission (PenCom) shall regulate, supervise and ensure the effective administration of pension matters in Nigeria</w:t>
      </w:r>
      <w:r w:rsidRPr="00F407C4">
        <w:rPr>
          <w:rStyle w:val="FootnoteReference"/>
          <w:rFonts w:ascii="Times New Roman" w:hAnsi="Times New Roman" w:cs="Times New Roman"/>
          <w:sz w:val="24"/>
          <w:szCs w:val="24"/>
        </w:rPr>
        <w:footnoteReference w:id="65"/>
      </w:r>
      <w:r w:rsidRPr="00F407C4">
        <w:rPr>
          <w:rFonts w:ascii="Times New Roman" w:hAnsi="Times New Roman" w:cs="Times New Roman"/>
          <w:sz w:val="24"/>
          <w:szCs w:val="24"/>
        </w:rPr>
        <w:t>. Section 24 of PRA 2004 states that the powers of the Commission shall be to formulate, direct and oversee the overall policy on pension matters in Nigeria</w:t>
      </w:r>
      <w:r w:rsidRPr="00F407C4">
        <w:rPr>
          <w:rStyle w:val="FootnoteReference"/>
          <w:rFonts w:ascii="Times New Roman" w:hAnsi="Times New Roman" w:cs="Times New Roman"/>
          <w:sz w:val="24"/>
          <w:szCs w:val="24"/>
        </w:rPr>
        <w:footnoteReference w:id="66"/>
      </w:r>
      <w:r w:rsidRPr="00F407C4">
        <w:rPr>
          <w:rFonts w:ascii="Times New Roman" w:hAnsi="Times New Roman" w:cs="Times New Roman"/>
          <w:sz w:val="24"/>
          <w:szCs w:val="24"/>
        </w:rPr>
        <w:t>; fix the terms and conditions of service including remuneration of the employees of the Commission</w:t>
      </w:r>
      <w:r w:rsidRPr="00F407C4">
        <w:rPr>
          <w:rStyle w:val="FootnoteReference"/>
          <w:rFonts w:ascii="Times New Roman" w:hAnsi="Times New Roman" w:cs="Times New Roman"/>
          <w:sz w:val="24"/>
          <w:szCs w:val="24"/>
        </w:rPr>
        <w:footnoteReference w:id="67"/>
      </w:r>
      <w:r w:rsidRPr="00F407C4">
        <w:rPr>
          <w:rFonts w:ascii="Times New Roman" w:hAnsi="Times New Roman" w:cs="Times New Roman"/>
          <w:sz w:val="24"/>
          <w:szCs w:val="24"/>
        </w:rPr>
        <w:t>; request or call for information from any employer or pension administrator or custodian or any person or institution on matters relating to retirement benefit</w:t>
      </w:r>
      <w:r w:rsidRPr="00F407C4">
        <w:rPr>
          <w:rStyle w:val="FootnoteReference"/>
          <w:rFonts w:ascii="Times New Roman" w:hAnsi="Times New Roman" w:cs="Times New Roman"/>
          <w:sz w:val="24"/>
          <w:szCs w:val="24"/>
        </w:rPr>
        <w:footnoteReference w:id="68"/>
      </w:r>
      <w:r w:rsidRPr="00F407C4">
        <w:rPr>
          <w:rFonts w:ascii="Times New Roman" w:hAnsi="Times New Roman" w:cs="Times New Roman"/>
          <w:sz w:val="24"/>
          <w:szCs w:val="24"/>
        </w:rPr>
        <w:t>; charge and collect such fees, levies or penalties, as may be specified by the Commission</w:t>
      </w:r>
      <w:r w:rsidRPr="00F407C4">
        <w:rPr>
          <w:rStyle w:val="FootnoteReference"/>
          <w:rFonts w:ascii="Times New Roman" w:hAnsi="Times New Roman" w:cs="Times New Roman"/>
          <w:sz w:val="24"/>
          <w:szCs w:val="24"/>
        </w:rPr>
        <w:footnoteReference w:id="69"/>
      </w:r>
      <w:r w:rsidRPr="00F407C4">
        <w:rPr>
          <w:rFonts w:ascii="Times New Roman" w:hAnsi="Times New Roman" w:cs="Times New Roman"/>
          <w:sz w:val="24"/>
          <w:szCs w:val="24"/>
        </w:rPr>
        <w:t>; establish and acquire offices and other premises for the use of the Commission in such locations as it may deem necessary for the proper performance of its functions under this Act; establish standards, rules and regulations for the management of pension funds under this Act;</w:t>
      </w:r>
      <w:r w:rsidRPr="00F407C4">
        <w:rPr>
          <w:rStyle w:val="FootnoteReference"/>
          <w:rFonts w:ascii="Times New Roman" w:hAnsi="Times New Roman" w:cs="Times New Roman"/>
          <w:sz w:val="24"/>
          <w:szCs w:val="24"/>
        </w:rPr>
        <w:footnoteReference w:id="70"/>
      </w:r>
      <w:r w:rsidRPr="00F407C4">
        <w:rPr>
          <w:rFonts w:ascii="Times New Roman" w:hAnsi="Times New Roman" w:cs="Times New Roman"/>
          <w:sz w:val="24"/>
          <w:szCs w:val="24"/>
        </w:rPr>
        <w:t xml:space="preserve"> investigate any pension fund administrator, custodian or other party involved in the management of pension funds</w:t>
      </w:r>
      <w:r w:rsidRPr="00F407C4">
        <w:rPr>
          <w:rStyle w:val="FootnoteReference"/>
          <w:rFonts w:ascii="Times New Roman" w:hAnsi="Times New Roman" w:cs="Times New Roman"/>
          <w:sz w:val="24"/>
          <w:szCs w:val="24"/>
        </w:rPr>
        <w:footnoteReference w:id="71"/>
      </w:r>
      <w:r w:rsidRPr="00F407C4">
        <w:rPr>
          <w:rFonts w:ascii="Times New Roman" w:hAnsi="Times New Roman" w:cs="Times New Roman"/>
          <w:sz w:val="24"/>
          <w:szCs w:val="24"/>
        </w:rPr>
        <w:t>; Impose administrative sanctions or fines on erring employers or pension fund administrators or custodians;</w:t>
      </w:r>
      <w:r w:rsidRPr="00F407C4">
        <w:rPr>
          <w:rStyle w:val="FootnoteReference"/>
          <w:rFonts w:ascii="Times New Roman" w:hAnsi="Times New Roman" w:cs="Times New Roman"/>
          <w:sz w:val="24"/>
          <w:szCs w:val="24"/>
        </w:rPr>
        <w:footnoteReference w:id="72"/>
      </w:r>
      <w:r w:rsidRPr="00F407C4">
        <w:rPr>
          <w:rFonts w:ascii="Times New Roman" w:hAnsi="Times New Roman" w:cs="Times New Roman"/>
          <w:sz w:val="24"/>
          <w:szCs w:val="24"/>
        </w:rPr>
        <w:t xml:space="preserve"> Order the transfer of management or custody of all pension funds or assets being managed by a pension fund administrator or held by a custodian whose license has been revoked under this Act or subject to insolvency proceedings to another pension fund administration or custodian, as the case may be</w:t>
      </w:r>
      <w:r w:rsidRPr="00F407C4">
        <w:rPr>
          <w:rStyle w:val="FootnoteReference"/>
          <w:rFonts w:ascii="Times New Roman" w:hAnsi="Times New Roman" w:cs="Times New Roman"/>
          <w:sz w:val="24"/>
          <w:szCs w:val="24"/>
        </w:rPr>
        <w:footnoteReference w:id="73"/>
      </w:r>
      <w:r w:rsidRPr="00F407C4">
        <w:rPr>
          <w:rFonts w:ascii="Times New Roman" w:hAnsi="Times New Roman" w:cs="Times New Roman"/>
          <w:sz w:val="24"/>
          <w:szCs w:val="24"/>
        </w:rPr>
        <w:t>; move pension funds and assets from one PFA or PFC to another when the Commission believes that funds and assets are endangered</w:t>
      </w:r>
      <w:r w:rsidRPr="00F407C4">
        <w:rPr>
          <w:rStyle w:val="FootnoteReference"/>
          <w:rFonts w:ascii="Times New Roman" w:hAnsi="Times New Roman" w:cs="Times New Roman"/>
          <w:sz w:val="24"/>
          <w:szCs w:val="24"/>
        </w:rPr>
        <w:footnoteReference w:id="74"/>
      </w:r>
      <w:r w:rsidRPr="00F407C4">
        <w:rPr>
          <w:rFonts w:ascii="Times New Roman" w:hAnsi="Times New Roman" w:cs="Times New Roman"/>
          <w:sz w:val="24"/>
          <w:szCs w:val="24"/>
        </w:rPr>
        <w:t>; appoint management committee in the resolution of failing pension operators</w:t>
      </w:r>
      <w:r w:rsidRPr="00F407C4">
        <w:rPr>
          <w:rStyle w:val="FootnoteReference"/>
          <w:rFonts w:ascii="Times New Roman" w:hAnsi="Times New Roman" w:cs="Times New Roman"/>
          <w:sz w:val="24"/>
          <w:szCs w:val="24"/>
        </w:rPr>
        <w:footnoteReference w:id="75"/>
      </w:r>
      <w:r w:rsidRPr="00F407C4">
        <w:rPr>
          <w:rFonts w:ascii="Times New Roman" w:hAnsi="Times New Roman" w:cs="Times New Roman"/>
          <w:sz w:val="24"/>
          <w:szCs w:val="24"/>
        </w:rPr>
        <w:t>; accredit any person, body corporate or institution that engages in any activity relating to pension matters in Nigeria pursuant to this act;</w:t>
      </w:r>
      <w:r w:rsidRPr="00F407C4">
        <w:rPr>
          <w:rStyle w:val="FootnoteReference"/>
          <w:rFonts w:ascii="Times New Roman" w:hAnsi="Times New Roman" w:cs="Times New Roman"/>
          <w:sz w:val="24"/>
          <w:szCs w:val="24"/>
        </w:rPr>
        <w:footnoteReference w:id="76"/>
      </w:r>
      <w:r w:rsidRPr="00F407C4">
        <w:rPr>
          <w:rFonts w:ascii="Times New Roman" w:hAnsi="Times New Roman" w:cs="Times New Roman"/>
          <w:sz w:val="24"/>
          <w:szCs w:val="24"/>
        </w:rPr>
        <w:t xml:space="preserve"> request the Accountant-General of the Federation to credit into the Federal </w:t>
      </w:r>
      <w:r w:rsidRPr="00F407C4">
        <w:rPr>
          <w:rFonts w:ascii="Times New Roman" w:hAnsi="Times New Roman" w:cs="Times New Roman"/>
          <w:sz w:val="24"/>
          <w:szCs w:val="24"/>
        </w:rPr>
        <w:lastRenderedPageBreak/>
        <w:t>Government Retirement Fund Account, Federal Government’s obligation for the redemption of the retirement benefits bonds issued to its employees for their past service</w:t>
      </w:r>
      <w:r w:rsidRPr="00F407C4">
        <w:rPr>
          <w:rStyle w:val="FootnoteReference"/>
          <w:rFonts w:ascii="Times New Roman" w:hAnsi="Times New Roman" w:cs="Times New Roman"/>
          <w:sz w:val="24"/>
          <w:szCs w:val="24"/>
        </w:rPr>
        <w:footnoteReference w:id="77"/>
      </w:r>
      <w:r w:rsidRPr="00F407C4">
        <w:rPr>
          <w:rFonts w:ascii="Times New Roman" w:hAnsi="Times New Roman" w:cs="Times New Roman"/>
          <w:sz w:val="24"/>
          <w:szCs w:val="24"/>
        </w:rPr>
        <w:t>; set up technical committees, working group and task force to assist the commission in the performance of its duties and functions under the Act</w:t>
      </w:r>
      <w:r w:rsidRPr="00F407C4">
        <w:rPr>
          <w:rStyle w:val="FootnoteReference"/>
          <w:rFonts w:ascii="Times New Roman" w:hAnsi="Times New Roman" w:cs="Times New Roman"/>
          <w:sz w:val="24"/>
          <w:szCs w:val="24"/>
        </w:rPr>
        <w:footnoteReference w:id="78"/>
      </w:r>
      <w:r w:rsidRPr="00F407C4">
        <w:rPr>
          <w:rFonts w:ascii="Times New Roman" w:hAnsi="Times New Roman" w:cs="Times New Roman"/>
          <w:sz w:val="24"/>
          <w:szCs w:val="24"/>
        </w:rPr>
        <w:t>; make changes to its structure with the approval of the board</w:t>
      </w:r>
      <w:r w:rsidRPr="00F407C4">
        <w:rPr>
          <w:rStyle w:val="FootnoteReference"/>
          <w:rFonts w:ascii="Times New Roman" w:hAnsi="Times New Roman" w:cs="Times New Roman"/>
          <w:sz w:val="24"/>
          <w:szCs w:val="24"/>
        </w:rPr>
        <w:footnoteReference w:id="79"/>
      </w:r>
      <w:r w:rsidRPr="00F407C4">
        <w:rPr>
          <w:rFonts w:ascii="Times New Roman" w:hAnsi="Times New Roman" w:cs="Times New Roman"/>
          <w:sz w:val="24"/>
          <w:szCs w:val="24"/>
        </w:rPr>
        <w:t>; And do such other things in its opinion are necessary to ensure the efficient performance of the functions of the Commission under this Act</w:t>
      </w:r>
      <w:r w:rsidRPr="00F407C4">
        <w:rPr>
          <w:rStyle w:val="FootnoteReference"/>
          <w:rFonts w:ascii="Times New Roman" w:hAnsi="Times New Roman" w:cs="Times New Roman"/>
          <w:sz w:val="24"/>
          <w:szCs w:val="24"/>
        </w:rPr>
        <w:footnoteReference w:id="80"/>
      </w:r>
      <w:r w:rsidRPr="00F407C4">
        <w:rPr>
          <w:rFonts w:ascii="Times New Roman" w:hAnsi="Times New Roman" w:cs="Times New Roman"/>
          <w:sz w:val="24"/>
          <w:szCs w:val="24"/>
        </w:rPr>
        <w:t>.</w:t>
      </w:r>
    </w:p>
    <w:p w:rsidR="00716884" w:rsidRPr="00F407C4" w:rsidRDefault="00716884" w:rsidP="00F407C4">
      <w:pPr>
        <w:spacing w:line="360" w:lineRule="auto"/>
        <w:jc w:val="both"/>
        <w:rPr>
          <w:rFonts w:ascii="Times New Roman" w:hAnsi="Times New Roman" w:cs="Times New Roman"/>
          <w:sz w:val="24"/>
          <w:szCs w:val="24"/>
        </w:rPr>
      </w:pPr>
      <w:r w:rsidRPr="00F407C4">
        <w:rPr>
          <w:rFonts w:ascii="Times New Roman" w:hAnsi="Times New Roman" w:cs="Times New Roman"/>
          <w:sz w:val="24"/>
          <w:szCs w:val="24"/>
        </w:rPr>
        <w:t>Parts VII of the PRA 2014 - Management and Staff of the Commission shall include a Director-General who shall be appointed by the president subject to ratification b y the Senate</w:t>
      </w:r>
      <w:r w:rsidRPr="00F407C4">
        <w:rPr>
          <w:rStyle w:val="FootnoteReference"/>
          <w:rFonts w:ascii="Times New Roman" w:hAnsi="Times New Roman" w:cs="Times New Roman"/>
          <w:sz w:val="24"/>
          <w:szCs w:val="24"/>
        </w:rPr>
        <w:footnoteReference w:id="81"/>
      </w:r>
      <w:r w:rsidRPr="00F407C4">
        <w:rPr>
          <w:rFonts w:ascii="Times New Roman" w:hAnsi="Times New Roman" w:cs="Times New Roman"/>
          <w:sz w:val="24"/>
          <w:szCs w:val="24"/>
        </w:rPr>
        <w:t>. Also the Commission shall have a Secretary and a Legal Adviser</w:t>
      </w:r>
      <w:r w:rsidRPr="00F407C4">
        <w:rPr>
          <w:rStyle w:val="FootnoteReference"/>
          <w:rFonts w:ascii="Times New Roman" w:hAnsi="Times New Roman" w:cs="Times New Roman"/>
          <w:sz w:val="24"/>
          <w:szCs w:val="24"/>
        </w:rPr>
        <w:footnoteReference w:id="82"/>
      </w:r>
    </w:p>
    <w:p w:rsidR="00F16ADF" w:rsidRPr="00F407C4" w:rsidRDefault="00716884" w:rsidP="00F407C4">
      <w:pPr>
        <w:spacing w:line="360" w:lineRule="auto"/>
        <w:jc w:val="both"/>
        <w:rPr>
          <w:rFonts w:ascii="Times New Roman" w:hAnsi="Times New Roman" w:cs="Times New Roman"/>
          <w:sz w:val="24"/>
          <w:szCs w:val="24"/>
        </w:rPr>
      </w:pPr>
      <w:r w:rsidRPr="00F407C4">
        <w:rPr>
          <w:rFonts w:ascii="Times New Roman" w:hAnsi="Times New Roman" w:cs="Times New Roman"/>
          <w:sz w:val="24"/>
          <w:szCs w:val="24"/>
        </w:rPr>
        <w:t>A critical looks at the provisions</w:t>
      </w:r>
      <w:r w:rsidRPr="00F407C4">
        <w:rPr>
          <w:rStyle w:val="FootnoteReference"/>
          <w:rFonts w:ascii="Times New Roman" w:hAnsi="Times New Roman" w:cs="Times New Roman"/>
          <w:sz w:val="24"/>
          <w:szCs w:val="24"/>
        </w:rPr>
        <w:footnoteReference w:id="83"/>
      </w:r>
      <w:r w:rsidRPr="00F407C4">
        <w:rPr>
          <w:rFonts w:ascii="Times New Roman" w:hAnsi="Times New Roman" w:cs="Times New Roman"/>
          <w:sz w:val="24"/>
          <w:szCs w:val="24"/>
        </w:rPr>
        <w:t xml:space="preserve"> of the Act as it relates to the establishment of the Commission, powers and Officers, shows glaring apathy towards adequate provision for the establishment of a </w:t>
      </w:r>
      <w:r w:rsidR="0033071F" w:rsidRPr="00F407C4">
        <w:rPr>
          <w:rFonts w:ascii="Times New Roman" w:hAnsi="Times New Roman" w:cs="Times New Roman"/>
          <w:sz w:val="24"/>
          <w:szCs w:val="24"/>
        </w:rPr>
        <w:t>Shari’ah</w:t>
      </w:r>
      <w:r w:rsidRPr="00F407C4">
        <w:rPr>
          <w:rFonts w:ascii="Times New Roman" w:hAnsi="Times New Roman" w:cs="Times New Roman"/>
          <w:sz w:val="24"/>
          <w:szCs w:val="24"/>
        </w:rPr>
        <w:t xml:space="preserve"> Advisory Board to advice the Commission on the provisions of the </w:t>
      </w:r>
      <w:r w:rsidR="0033071F" w:rsidRPr="00F407C4">
        <w:rPr>
          <w:rFonts w:ascii="Times New Roman" w:hAnsi="Times New Roman" w:cs="Times New Roman"/>
          <w:sz w:val="24"/>
          <w:szCs w:val="24"/>
        </w:rPr>
        <w:t>Shari’ah</w:t>
      </w:r>
      <w:r w:rsidRPr="00F407C4">
        <w:rPr>
          <w:rFonts w:ascii="Times New Roman" w:hAnsi="Times New Roman" w:cs="Times New Roman"/>
          <w:sz w:val="24"/>
          <w:szCs w:val="24"/>
        </w:rPr>
        <w:t xml:space="preserve"> as it relates to pension funds and its administration. The absence of </w:t>
      </w:r>
      <w:r w:rsidR="0033071F" w:rsidRPr="00F407C4">
        <w:rPr>
          <w:rFonts w:ascii="Times New Roman" w:hAnsi="Times New Roman" w:cs="Times New Roman"/>
          <w:sz w:val="24"/>
          <w:szCs w:val="24"/>
        </w:rPr>
        <w:t>Shari’ah</w:t>
      </w:r>
      <w:r w:rsidRPr="00F407C4">
        <w:rPr>
          <w:rFonts w:ascii="Times New Roman" w:hAnsi="Times New Roman" w:cs="Times New Roman"/>
          <w:sz w:val="24"/>
          <w:szCs w:val="24"/>
        </w:rPr>
        <w:t xml:space="preserve"> Advisory Board may have a dire effect in the protection of Muslim pensioners. Due to significant growth  of the number of Muslim pensioners and the fact that a measurable number of the country’s population are Muslims, there is the dire need for a </w:t>
      </w:r>
      <w:r w:rsidR="0033071F" w:rsidRPr="00F407C4">
        <w:rPr>
          <w:rFonts w:ascii="Times New Roman" w:hAnsi="Times New Roman" w:cs="Times New Roman"/>
          <w:sz w:val="24"/>
          <w:szCs w:val="24"/>
        </w:rPr>
        <w:t>Shari’ah</w:t>
      </w:r>
      <w:r w:rsidRPr="00F407C4">
        <w:rPr>
          <w:rFonts w:ascii="Times New Roman" w:hAnsi="Times New Roman" w:cs="Times New Roman"/>
          <w:sz w:val="24"/>
          <w:szCs w:val="24"/>
        </w:rPr>
        <w:t xml:space="preserve"> advisory board as it relates to pension activities. In particular, effective Shari'ah governance is crucial to strengthen the credibility of the Islamic financial system and ultimately protect the interest </w:t>
      </w:r>
      <w:r w:rsidR="0045471E">
        <w:rPr>
          <w:rFonts w:ascii="Times New Roman" w:hAnsi="Times New Roman" w:cs="Times New Roman"/>
          <w:sz w:val="24"/>
          <w:szCs w:val="24"/>
        </w:rPr>
        <w:t>of Muslim pensioners as a whole</w:t>
      </w:r>
      <w:r w:rsidRPr="00F407C4">
        <w:rPr>
          <w:rFonts w:ascii="Times New Roman" w:hAnsi="Times New Roman" w:cs="Times New Roman"/>
          <w:sz w:val="24"/>
          <w:szCs w:val="24"/>
        </w:rPr>
        <w:t xml:space="preserve">. Failure to provide efficient Shari'ah governance would inevitably lead to serious disruptions in provision of the </w:t>
      </w:r>
      <w:r w:rsidR="0045471E" w:rsidRPr="00F407C4">
        <w:rPr>
          <w:rFonts w:ascii="Times New Roman" w:hAnsi="Times New Roman" w:cs="Times New Roman"/>
          <w:sz w:val="24"/>
          <w:szCs w:val="24"/>
        </w:rPr>
        <w:t>Shari’ah</w:t>
      </w:r>
      <w:r w:rsidRPr="00F407C4">
        <w:rPr>
          <w:rFonts w:ascii="Times New Roman" w:hAnsi="Times New Roman" w:cs="Times New Roman"/>
          <w:sz w:val="24"/>
          <w:szCs w:val="24"/>
        </w:rPr>
        <w:t xml:space="preserve"> as it relates to the accumulation and use of wealth acquired.</w:t>
      </w:r>
    </w:p>
    <w:p w:rsidR="00716884" w:rsidRPr="00F407C4" w:rsidRDefault="00C21D20" w:rsidP="00F407C4">
      <w:pPr>
        <w:spacing w:line="360" w:lineRule="auto"/>
        <w:jc w:val="both"/>
        <w:rPr>
          <w:rFonts w:ascii="Times New Roman" w:hAnsi="Times New Roman" w:cs="Times New Roman"/>
          <w:b/>
          <w:sz w:val="24"/>
          <w:szCs w:val="24"/>
        </w:rPr>
      </w:pPr>
      <w:r>
        <w:rPr>
          <w:rFonts w:ascii="Times New Roman" w:hAnsi="Times New Roman" w:cs="Times New Roman"/>
          <w:b/>
          <w:sz w:val="24"/>
          <w:szCs w:val="24"/>
        </w:rPr>
        <w:t>6</w:t>
      </w:r>
      <w:r w:rsidR="008B5C59" w:rsidRPr="00F407C4">
        <w:rPr>
          <w:rFonts w:ascii="Times New Roman" w:hAnsi="Times New Roman" w:cs="Times New Roman"/>
          <w:b/>
          <w:sz w:val="24"/>
          <w:szCs w:val="24"/>
        </w:rPr>
        <w:t>. CONCLUSION AND RECOMMENDATION</w:t>
      </w:r>
      <w:r w:rsidR="00716884" w:rsidRPr="00F407C4">
        <w:rPr>
          <w:rFonts w:ascii="Times New Roman" w:hAnsi="Times New Roman" w:cs="Times New Roman"/>
          <w:b/>
          <w:sz w:val="24"/>
          <w:szCs w:val="24"/>
        </w:rPr>
        <w:t xml:space="preserve"> </w:t>
      </w:r>
    </w:p>
    <w:p w:rsidR="00716884" w:rsidRDefault="0045471E" w:rsidP="00922F56">
      <w:pPr>
        <w:spacing w:line="360" w:lineRule="auto"/>
        <w:jc w:val="both"/>
        <w:rPr>
          <w:rFonts w:ascii="Times New Roman" w:hAnsi="Times New Roman" w:cs="Times New Roman"/>
          <w:sz w:val="24"/>
          <w:szCs w:val="24"/>
        </w:rPr>
      </w:pPr>
      <w:r>
        <w:rPr>
          <w:rFonts w:ascii="Times New Roman" w:hAnsi="Times New Roman" w:cs="Times New Roman"/>
          <w:sz w:val="24"/>
          <w:szCs w:val="24"/>
        </w:rPr>
        <w:t>New contributory pension scheme has brought to</w:t>
      </w:r>
      <w:r w:rsidR="00922F56">
        <w:rPr>
          <w:rFonts w:ascii="Times New Roman" w:hAnsi="Times New Roman" w:cs="Times New Roman"/>
          <w:sz w:val="24"/>
          <w:szCs w:val="24"/>
        </w:rPr>
        <w:t xml:space="preserve"> the</w:t>
      </w:r>
      <w:r>
        <w:rPr>
          <w:rFonts w:ascii="Times New Roman" w:hAnsi="Times New Roman" w:cs="Times New Roman"/>
          <w:sz w:val="24"/>
          <w:szCs w:val="24"/>
        </w:rPr>
        <w:t xml:space="preserve"> fore a number of improvements </w:t>
      </w:r>
      <w:r w:rsidR="00922F56">
        <w:rPr>
          <w:rFonts w:ascii="Times New Roman" w:hAnsi="Times New Roman" w:cs="Times New Roman"/>
          <w:sz w:val="24"/>
          <w:szCs w:val="24"/>
        </w:rPr>
        <w:t xml:space="preserve">on the previous regimes. This becomes apparent in the aspect of ensuring safety of the funds and </w:t>
      </w:r>
      <w:r w:rsidR="00922F56">
        <w:rPr>
          <w:rFonts w:ascii="Times New Roman" w:hAnsi="Times New Roman" w:cs="Times New Roman"/>
          <w:sz w:val="24"/>
          <w:szCs w:val="24"/>
        </w:rPr>
        <w:lastRenderedPageBreak/>
        <w:t xml:space="preserve">ofcourse investment in profitable ventures as well as measures put in place to guide against abuse. However, administration of the pension funds gives one serious concern </w:t>
      </w:r>
      <w:r w:rsidR="00262959">
        <w:rPr>
          <w:rFonts w:ascii="Times New Roman" w:hAnsi="Times New Roman" w:cs="Times New Roman"/>
          <w:sz w:val="24"/>
          <w:szCs w:val="24"/>
        </w:rPr>
        <w:t xml:space="preserve">especially from Shari’ah compliance angle. The reason being that, the present framework for the new pension scheme offends a number of Islamic principles of responsible investment. </w:t>
      </w:r>
      <w:r w:rsidR="00FA085A">
        <w:rPr>
          <w:rFonts w:ascii="Times New Roman" w:hAnsi="Times New Roman" w:cs="Times New Roman"/>
          <w:sz w:val="24"/>
          <w:szCs w:val="24"/>
        </w:rPr>
        <w:t xml:space="preserve">The paper finds that Shari’ah dictates every aspect of Muslims including their funds’ spending and saving habit amidst the kind of investment their funds are subjected to. </w:t>
      </w:r>
      <w:r w:rsidR="00262959">
        <w:rPr>
          <w:rFonts w:ascii="Times New Roman" w:hAnsi="Times New Roman" w:cs="Times New Roman"/>
          <w:sz w:val="24"/>
          <w:szCs w:val="24"/>
        </w:rPr>
        <w:t>The study finds that in the administration of pension funds under the new pension scheme, Shari’ah issues of riba, maisir, gharar were not paid adequate attention to. This is owing to the fact that the new scheme does not make provision for Shari’ah Advisory Board in the administration. It is hereby recommended that the new pension scheme should be amended to make way for utilization of Shari’ah Advisory Board to avoid further violation of Shari’ah principles in the administration of pension funds</w:t>
      </w:r>
      <w:r w:rsidR="003A4341">
        <w:rPr>
          <w:rFonts w:ascii="Times New Roman" w:hAnsi="Times New Roman" w:cs="Times New Roman"/>
          <w:sz w:val="24"/>
          <w:szCs w:val="24"/>
        </w:rPr>
        <w:t>.</w:t>
      </w:r>
      <w:r w:rsidR="005074F3">
        <w:rPr>
          <w:rFonts w:ascii="Times New Roman" w:hAnsi="Times New Roman" w:cs="Times New Roman"/>
          <w:sz w:val="24"/>
          <w:szCs w:val="24"/>
        </w:rPr>
        <w:t xml:space="preserve"> Islamic finance industry should also be utilized with a view to investing pension funds in Shari’ah complaint ventures.</w:t>
      </w:r>
      <w:r w:rsidR="00262959">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F407C4" w:rsidRDefault="00F407C4" w:rsidP="00F407C4">
      <w:pPr>
        <w:spacing w:line="360" w:lineRule="auto"/>
        <w:rPr>
          <w:rFonts w:ascii="Times New Roman" w:hAnsi="Times New Roman" w:cs="Times New Roman"/>
          <w:sz w:val="24"/>
          <w:szCs w:val="24"/>
        </w:rPr>
      </w:pPr>
    </w:p>
    <w:p w:rsidR="00F407C4" w:rsidRPr="00F407C4" w:rsidRDefault="00F407C4" w:rsidP="00F407C4">
      <w:pPr>
        <w:spacing w:line="360" w:lineRule="auto"/>
        <w:rPr>
          <w:rFonts w:ascii="Times New Roman" w:hAnsi="Times New Roman" w:cs="Times New Roman"/>
          <w:sz w:val="24"/>
          <w:szCs w:val="24"/>
        </w:rPr>
      </w:pPr>
    </w:p>
    <w:p w:rsidR="00457B90" w:rsidRPr="00F407C4" w:rsidRDefault="00457B90" w:rsidP="00F407C4">
      <w:pPr>
        <w:spacing w:line="360" w:lineRule="auto"/>
        <w:rPr>
          <w:rFonts w:ascii="Times New Roman" w:hAnsi="Times New Roman" w:cs="Times New Roman"/>
          <w:sz w:val="24"/>
          <w:szCs w:val="24"/>
        </w:rPr>
      </w:pPr>
    </w:p>
    <w:sectPr w:rsidR="00457B90" w:rsidRPr="00F407C4" w:rsidSect="008E7A9D">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E3D8B" w:rsidRDefault="006E3D8B" w:rsidP="00716884">
      <w:pPr>
        <w:spacing w:after="0" w:line="240" w:lineRule="auto"/>
      </w:pPr>
      <w:r>
        <w:separator/>
      </w:r>
    </w:p>
  </w:endnote>
  <w:endnote w:type="continuationSeparator" w:id="1">
    <w:p w:rsidR="006E3D8B" w:rsidRDefault="006E3D8B" w:rsidP="0071688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E3D8B" w:rsidRDefault="006E3D8B" w:rsidP="00716884">
      <w:pPr>
        <w:spacing w:after="0" w:line="240" w:lineRule="auto"/>
      </w:pPr>
      <w:r>
        <w:separator/>
      </w:r>
    </w:p>
  </w:footnote>
  <w:footnote w:type="continuationSeparator" w:id="1">
    <w:p w:rsidR="006E3D8B" w:rsidRDefault="006E3D8B" w:rsidP="00716884">
      <w:pPr>
        <w:spacing w:after="0" w:line="240" w:lineRule="auto"/>
      </w:pPr>
      <w:r>
        <w:continuationSeparator/>
      </w:r>
    </w:p>
  </w:footnote>
  <w:footnote w:id="2">
    <w:p w:rsidR="00AA58BF" w:rsidRDefault="00AA58BF" w:rsidP="00716884">
      <w:pPr>
        <w:pStyle w:val="FootnoteText"/>
        <w:spacing w:line="276" w:lineRule="auto"/>
        <w:jc w:val="both"/>
        <w:rPr>
          <w:rFonts w:ascii="Times New Roman" w:hAnsi="Times New Roman" w:cs="Times New Roman"/>
        </w:rPr>
      </w:pPr>
      <w:r>
        <w:rPr>
          <w:rFonts w:ascii="Times New Roman" w:hAnsi="Times New Roman" w:cs="Times New Roman"/>
        </w:rPr>
        <w:t>*Ph.D, Department of Islamic Law, Faculty of Law, Al-Hikmah University, Ilorin, Nigeria, aa</w:t>
      </w:r>
      <w:r w:rsidR="001019C0">
        <w:rPr>
          <w:rFonts w:ascii="Times New Roman" w:hAnsi="Times New Roman" w:cs="Times New Roman"/>
        </w:rPr>
        <w:t>onikosi</w:t>
      </w:r>
      <w:r>
        <w:rPr>
          <w:rFonts w:ascii="Times New Roman" w:hAnsi="Times New Roman" w:cs="Times New Roman"/>
        </w:rPr>
        <w:t>@alhikmah.edu.ng</w:t>
      </w:r>
    </w:p>
    <w:p w:rsidR="00AA58BF" w:rsidRDefault="00AA58BF" w:rsidP="00716884">
      <w:pPr>
        <w:pStyle w:val="FootnoteText"/>
        <w:spacing w:line="276" w:lineRule="auto"/>
        <w:jc w:val="both"/>
        <w:rPr>
          <w:rFonts w:ascii="Times New Roman" w:hAnsi="Times New Roman" w:cs="Times New Roman"/>
        </w:rPr>
      </w:pPr>
      <w:r>
        <w:rPr>
          <w:rFonts w:ascii="Times New Roman" w:hAnsi="Times New Roman" w:cs="Times New Roman"/>
        </w:rPr>
        <w:t>**Department of Private and Business Law, Faculty of Law, Al-Hikmah University, Ilorin, Nigeria, aaaminu@alhikmah.edu.ng</w:t>
      </w:r>
    </w:p>
    <w:p w:rsidR="00AA58BF" w:rsidRDefault="00AA58BF" w:rsidP="00716884">
      <w:pPr>
        <w:pStyle w:val="FootnoteText"/>
        <w:spacing w:line="276" w:lineRule="auto"/>
        <w:jc w:val="both"/>
        <w:rPr>
          <w:rFonts w:ascii="Times New Roman" w:hAnsi="Times New Roman" w:cs="Times New Roman"/>
        </w:rPr>
      </w:pPr>
      <w:r>
        <w:rPr>
          <w:rFonts w:ascii="Times New Roman" w:hAnsi="Times New Roman" w:cs="Times New Roman"/>
        </w:rPr>
        <w:t xml:space="preserve">***Department of Islamic Law, Faculty of Law, Kwara State University, Malete, </w:t>
      </w:r>
      <w:hyperlink r:id="rId1" w:history="1">
        <w:r w:rsidRPr="0086457E">
          <w:rPr>
            <w:rStyle w:val="Hyperlink"/>
            <w:rFonts w:ascii="Times New Roman" w:hAnsi="Times New Roman" w:cs="Times New Roman"/>
          </w:rPr>
          <w:t>ahmed.muhammed-mikaaeel@kwasu.edu.ng</w:t>
        </w:r>
      </w:hyperlink>
      <w:r>
        <w:rPr>
          <w:rFonts w:ascii="Times New Roman" w:hAnsi="Times New Roman" w:cs="Times New Roman"/>
        </w:rPr>
        <w:t xml:space="preserve"> </w:t>
      </w:r>
    </w:p>
    <w:p w:rsidR="00716884" w:rsidRPr="006D67DA" w:rsidRDefault="00716884" w:rsidP="00716884">
      <w:pPr>
        <w:pStyle w:val="FootnoteText"/>
        <w:spacing w:line="276" w:lineRule="auto"/>
        <w:jc w:val="both"/>
        <w:rPr>
          <w:rFonts w:ascii="Times New Roman" w:hAnsi="Times New Roman" w:cs="Times New Roman"/>
        </w:rPr>
      </w:pPr>
      <w:r w:rsidRPr="006D67DA">
        <w:rPr>
          <w:rStyle w:val="FootnoteReference"/>
          <w:rFonts w:ascii="Times New Roman" w:hAnsi="Times New Roman" w:cs="Times New Roman"/>
        </w:rPr>
        <w:footnoteRef/>
      </w:r>
      <w:r w:rsidRPr="006D67DA">
        <w:rPr>
          <w:rFonts w:ascii="Times New Roman" w:hAnsi="Times New Roman" w:cs="Times New Roman"/>
        </w:rPr>
        <w:t xml:space="preserve"> Hussein I.A, </w:t>
      </w:r>
      <w:r w:rsidRPr="006D67DA">
        <w:rPr>
          <w:rFonts w:ascii="Times New Roman" w:hAnsi="Times New Roman" w:cs="Times New Roman"/>
          <w:i/>
        </w:rPr>
        <w:t>“Principals of Islamic finance: a focus on project finance”,</w:t>
      </w:r>
      <w:r w:rsidRPr="006D67DA">
        <w:rPr>
          <w:rFonts w:ascii="Times New Roman" w:hAnsi="Times New Roman" w:cs="Times New Roman"/>
        </w:rPr>
        <w:t xml:space="preserve"> Munich Personal Re PEc Archive (2011), available at  </w:t>
      </w:r>
      <w:hyperlink r:id="rId2" w:history="1">
        <w:r w:rsidRPr="006D67DA">
          <w:rPr>
            <w:rStyle w:val="Hyperlink"/>
            <w:rFonts w:ascii="Times New Roman" w:hAnsi="Times New Roman" w:cs="Times New Roman"/>
          </w:rPr>
          <w:t>http://papers.ssrn.com/sol3/papers.cfm?abstract_id=i8o6305</w:t>
        </w:r>
      </w:hyperlink>
      <w:r w:rsidRPr="006D67DA">
        <w:rPr>
          <w:rFonts w:ascii="Times New Roman" w:hAnsi="Times New Roman" w:cs="Times New Roman"/>
        </w:rPr>
        <w:t xml:space="preserve">  accessed 14/09/19</w:t>
      </w:r>
    </w:p>
  </w:footnote>
  <w:footnote w:id="3">
    <w:p w:rsidR="000A06A5" w:rsidRPr="006D67DA" w:rsidRDefault="000A06A5" w:rsidP="000A06A5">
      <w:pPr>
        <w:pStyle w:val="FootnoteText"/>
        <w:spacing w:line="276" w:lineRule="auto"/>
        <w:jc w:val="both"/>
        <w:rPr>
          <w:rFonts w:ascii="Times New Roman" w:hAnsi="Times New Roman" w:cs="Times New Roman"/>
        </w:rPr>
      </w:pPr>
      <w:r w:rsidRPr="006D67DA">
        <w:rPr>
          <w:rStyle w:val="FootnoteReference"/>
          <w:rFonts w:ascii="Times New Roman" w:hAnsi="Times New Roman" w:cs="Times New Roman"/>
        </w:rPr>
        <w:footnoteRef/>
      </w:r>
      <w:r w:rsidRPr="006D67DA">
        <w:rPr>
          <w:rFonts w:ascii="Times New Roman" w:hAnsi="Times New Roman" w:cs="Times New Roman"/>
        </w:rPr>
        <w:t xml:space="preserve"> Evi Bodie </w:t>
      </w:r>
      <w:r w:rsidRPr="006D67DA">
        <w:rPr>
          <w:rFonts w:ascii="Times New Roman" w:hAnsi="Times New Roman" w:cs="Times New Roman"/>
          <w:i/>
        </w:rPr>
        <w:t>“Pension Funds And Financial Innovation”</w:t>
      </w:r>
      <w:r w:rsidRPr="006D67DA">
        <w:rPr>
          <w:rFonts w:ascii="Times New Roman" w:hAnsi="Times New Roman" w:cs="Times New Roman"/>
        </w:rPr>
        <w:t xml:space="preserve"> Working Paper No. 3101 National Bureau Of Economic Research 1050 Massachusetts Avenue Cambridge, MA 02138  (September 1989)</w:t>
      </w:r>
    </w:p>
  </w:footnote>
  <w:footnote w:id="4">
    <w:p w:rsidR="00C73E95" w:rsidRPr="006D67DA" w:rsidRDefault="00C73E95" w:rsidP="00C73E95">
      <w:pPr>
        <w:pStyle w:val="FootnoteText"/>
        <w:spacing w:line="276" w:lineRule="auto"/>
        <w:jc w:val="both"/>
        <w:rPr>
          <w:rFonts w:ascii="Times New Roman" w:hAnsi="Times New Roman" w:cs="Times New Roman"/>
        </w:rPr>
      </w:pPr>
      <w:r w:rsidRPr="006D67DA">
        <w:rPr>
          <w:rStyle w:val="FootnoteReference"/>
          <w:rFonts w:ascii="Times New Roman" w:hAnsi="Times New Roman" w:cs="Times New Roman"/>
        </w:rPr>
        <w:footnoteRef/>
      </w:r>
      <w:r w:rsidRPr="006D67DA">
        <w:rPr>
          <w:rFonts w:ascii="Times New Roman" w:hAnsi="Times New Roman" w:cs="Times New Roman"/>
        </w:rPr>
        <w:t xml:space="preserve"> Section 85 Pension Reform Act 2014</w:t>
      </w:r>
    </w:p>
  </w:footnote>
  <w:footnote w:id="5">
    <w:p w:rsidR="00C73E95" w:rsidRPr="006D67DA" w:rsidRDefault="00C73E95" w:rsidP="00C73E95">
      <w:pPr>
        <w:pStyle w:val="FootnoteText"/>
        <w:spacing w:line="276" w:lineRule="auto"/>
        <w:jc w:val="both"/>
        <w:rPr>
          <w:rFonts w:ascii="Times New Roman" w:hAnsi="Times New Roman" w:cs="Times New Roman"/>
        </w:rPr>
      </w:pPr>
      <w:r w:rsidRPr="006D67DA">
        <w:rPr>
          <w:rStyle w:val="FootnoteReference"/>
          <w:rFonts w:ascii="Times New Roman" w:hAnsi="Times New Roman" w:cs="Times New Roman"/>
        </w:rPr>
        <w:footnoteRef/>
      </w:r>
      <w:r w:rsidRPr="006D67DA">
        <w:rPr>
          <w:rFonts w:ascii="Times New Roman" w:hAnsi="Times New Roman" w:cs="Times New Roman"/>
        </w:rPr>
        <w:t xml:space="preserve"> Odia, J.O and Okoye, A. E  </w:t>
      </w:r>
      <w:r w:rsidRPr="006D67DA">
        <w:rPr>
          <w:rFonts w:ascii="Times New Roman" w:hAnsi="Times New Roman" w:cs="Times New Roman"/>
          <w:i/>
        </w:rPr>
        <w:t>“Pensions Reform In Nigeria: A Comparison Between The Old And New Scheme”</w:t>
      </w:r>
      <w:r w:rsidRPr="006D67DA">
        <w:rPr>
          <w:rFonts w:ascii="Times New Roman" w:hAnsi="Times New Roman" w:cs="Times New Roman"/>
        </w:rPr>
        <w:t xml:space="preserve"> Afro Asian Journal of Social Sciences Volume 3, No. 3.1 Quarter I  ISSN: 2229 – 5313, (2012)  </w:t>
      </w:r>
    </w:p>
  </w:footnote>
  <w:footnote w:id="6">
    <w:p w:rsidR="00C73E95" w:rsidRPr="006D67DA" w:rsidRDefault="00C73E95" w:rsidP="00C73E95">
      <w:pPr>
        <w:pStyle w:val="FootnoteText"/>
        <w:spacing w:line="276" w:lineRule="auto"/>
        <w:jc w:val="both"/>
        <w:rPr>
          <w:rFonts w:ascii="Times New Roman" w:hAnsi="Times New Roman" w:cs="Times New Roman"/>
        </w:rPr>
      </w:pPr>
      <w:r w:rsidRPr="006D67DA">
        <w:rPr>
          <w:rStyle w:val="FootnoteReference"/>
          <w:rFonts w:ascii="Times New Roman" w:hAnsi="Times New Roman" w:cs="Times New Roman"/>
        </w:rPr>
        <w:footnoteRef/>
      </w:r>
      <w:r w:rsidRPr="006D67DA">
        <w:rPr>
          <w:rFonts w:ascii="Times New Roman" w:hAnsi="Times New Roman" w:cs="Times New Roman"/>
        </w:rPr>
        <w:t xml:space="preserve"> Section 88</w:t>
      </w:r>
    </w:p>
  </w:footnote>
  <w:footnote w:id="7">
    <w:p w:rsidR="00C73E95" w:rsidRPr="006D67DA" w:rsidRDefault="00C73E95" w:rsidP="00C73E95">
      <w:pPr>
        <w:pStyle w:val="FootnoteText"/>
        <w:spacing w:line="276" w:lineRule="auto"/>
        <w:jc w:val="both"/>
        <w:rPr>
          <w:rFonts w:ascii="Times New Roman" w:hAnsi="Times New Roman" w:cs="Times New Roman"/>
        </w:rPr>
      </w:pPr>
      <w:r w:rsidRPr="006D67DA">
        <w:rPr>
          <w:rStyle w:val="FootnoteReference"/>
          <w:rFonts w:ascii="Times New Roman" w:hAnsi="Times New Roman" w:cs="Times New Roman"/>
        </w:rPr>
        <w:footnoteRef/>
      </w:r>
      <w:r w:rsidRPr="006D67DA">
        <w:rPr>
          <w:rFonts w:ascii="Times New Roman" w:hAnsi="Times New Roman" w:cs="Times New Roman"/>
        </w:rPr>
        <w:t xml:space="preserve"> Section 89</w:t>
      </w:r>
    </w:p>
  </w:footnote>
  <w:footnote w:id="8">
    <w:p w:rsidR="007D5ECF" w:rsidRPr="006D67DA" w:rsidRDefault="007D5ECF" w:rsidP="007D5ECF">
      <w:pPr>
        <w:pStyle w:val="FootnoteText"/>
        <w:spacing w:line="276" w:lineRule="auto"/>
        <w:jc w:val="both"/>
        <w:rPr>
          <w:rFonts w:ascii="Times New Roman" w:hAnsi="Times New Roman" w:cs="Times New Roman"/>
          <w:lang w:val="en-US"/>
        </w:rPr>
      </w:pPr>
      <w:r w:rsidRPr="006D67DA">
        <w:rPr>
          <w:rStyle w:val="FootnoteReference"/>
          <w:rFonts w:ascii="Times New Roman" w:hAnsi="Times New Roman" w:cs="Times New Roman"/>
        </w:rPr>
        <w:footnoteRef/>
      </w:r>
      <w:r w:rsidRPr="006D67DA">
        <w:rPr>
          <w:rFonts w:ascii="Times New Roman" w:hAnsi="Times New Roman" w:cs="Times New Roman"/>
        </w:rPr>
        <w:t xml:space="preserve"> See section 3 of Pension Reform Act, 2014</w:t>
      </w:r>
    </w:p>
  </w:footnote>
  <w:footnote w:id="9">
    <w:p w:rsidR="007D5ECF" w:rsidRPr="006D67DA" w:rsidRDefault="007D5ECF" w:rsidP="007D5ECF">
      <w:pPr>
        <w:pStyle w:val="FootnoteText"/>
        <w:spacing w:line="276" w:lineRule="auto"/>
        <w:jc w:val="both"/>
        <w:rPr>
          <w:rFonts w:ascii="Times New Roman" w:hAnsi="Times New Roman" w:cs="Times New Roman"/>
          <w:lang w:val="en-US"/>
        </w:rPr>
      </w:pPr>
      <w:r w:rsidRPr="006D67DA">
        <w:rPr>
          <w:rStyle w:val="FootnoteReference"/>
          <w:rFonts w:ascii="Times New Roman" w:hAnsi="Times New Roman" w:cs="Times New Roman"/>
        </w:rPr>
        <w:footnoteRef/>
      </w:r>
      <w:r w:rsidRPr="006D67DA">
        <w:rPr>
          <w:rFonts w:ascii="Times New Roman" w:hAnsi="Times New Roman" w:cs="Times New Roman"/>
        </w:rPr>
        <w:t xml:space="preserve"> See sections 85-88 of Pension Reform Act, 2014</w:t>
      </w:r>
    </w:p>
  </w:footnote>
  <w:footnote w:id="10">
    <w:p w:rsidR="007D5ECF" w:rsidRPr="006D67DA" w:rsidRDefault="007D5ECF" w:rsidP="007D5ECF">
      <w:pPr>
        <w:pStyle w:val="FootnoteText"/>
        <w:spacing w:line="276" w:lineRule="auto"/>
        <w:jc w:val="both"/>
        <w:rPr>
          <w:rFonts w:ascii="Times New Roman" w:hAnsi="Times New Roman" w:cs="Times New Roman"/>
          <w:lang w:val="en-US"/>
        </w:rPr>
      </w:pPr>
      <w:r w:rsidRPr="006D67DA">
        <w:rPr>
          <w:rStyle w:val="FootnoteReference"/>
          <w:rFonts w:ascii="Times New Roman" w:hAnsi="Times New Roman" w:cs="Times New Roman"/>
        </w:rPr>
        <w:footnoteRef/>
      </w:r>
      <w:r w:rsidRPr="006D67DA">
        <w:rPr>
          <w:rFonts w:ascii="Times New Roman" w:hAnsi="Times New Roman" w:cs="Times New Roman"/>
        </w:rPr>
        <w:t>Bakae, M.U. Abdul Rahim, A.K. ‘Maqasid Al-Shariah Theory: A Comparative Analysis between the Thoughts of Al-Shatibi and ‘Izz Al-Din ibn ‘Abd Al-Salam’</w:t>
      </w:r>
      <w:r w:rsidRPr="006D67DA">
        <w:rPr>
          <w:rFonts w:ascii="Times New Roman" w:hAnsi="Times New Roman" w:cs="Times New Roman"/>
          <w:i/>
        </w:rPr>
        <w:t xml:space="preserve"> International journal of Academic Research in Business &amp; Social Sciences, </w:t>
      </w:r>
      <w:r w:rsidRPr="006D67DA">
        <w:rPr>
          <w:rFonts w:ascii="Times New Roman" w:hAnsi="Times New Roman" w:cs="Times New Roman"/>
        </w:rPr>
        <w:t xml:space="preserve">Vol. 11, (8), 2021, 108-193 </w:t>
      </w:r>
    </w:p>
  </w:footnote>
  <w:footnote w:id="11">
    <w:p w:rsidR="007D5ECF" w:rsidRPr="006D67DA" w:rsidRDefault="007D5ECF" w:rsidP="007D5ECF">
      <w:pPr>
        <w:pStyle w:val="FootnoteText"/>
        <w:spacing w:line="276" w:lineRule="auto"/>
        <w:jc w:val="both"/>
        <w:rPr>
          <w:rFonts w:ascii="Times New Roman" w:hAnsi="Times New Roman" w:cs="Times New Roman"/>
          <w:lang w:val="en-US"/>
        </w:rPr>
      </w:pPr>
      <w:r w:rsidRPr="006D67DA">
        <w:rPr>
          <w:rStyle w:val="FootnoteReference"/>
          <w:rFonts w:ascii="Times New Roman" w:hAnsi="Times New Roman" w:cs="Times New Roman"/>
        </w:rPr>
        <w:footnoteRef/>
      </w:r>
      <w:r w:rsidRPr="006D67DA">
        <w:rPr>
          <w:rFonts w:ascii="Times New Roman" w:hAnsi="Times New Roman" w:cs="Times New Roman"/>
        </w:rPr>
        <w:t xml:space="preserve">Hamat, M.D., et al, ‘Concept of Amanah (Trustworthiness) and Al-Mas’uliyyah (Responsibility) for Human’s Character from Ethical Islamic Perspective’ Journal of Legal, Ethical and Regulatory Issues, Vol. 22 (1), 1-12. </w:t>
      </w:r>
    </w:p>
  </w:footnote>
  <w:footnote w:id="12">
    <w:p w:rsidR="00716884" w:rsidRPr="006D67DA" w:rsidRDefault="00716884" w:rsidP="00716884">
      <w:pPr>
        <w:pStyle w:val="FootnoteText"/>
        <w:spacing w:line="276" w:lineRule="auto"/>
        <w:jc w:val="both"/>
        <w:rPr>
          <w:rFonts w:ascii="Times New Roman" w:hAnsi="Times New Roman" w:cs="Times New Roman"/>
          <w:lang w:val="en-US"/>
        </w:rPr>
      </w:pPr>
      <w:r w:rsidRPr="006D67DA">
        <w:rPr>
          <w:rStyle w:val="FootnoteReference"/>
          <w:rFonts w:ascii="Times New Roman" w:hAnsi="Times New Roman" w:cs="Times New Roman"/>
        </w:rPr>
        <w:footnoteRef/>
      </w:r>
      <w:r w:rsidRPr="006D67DA">
        <w:rPr>
          <w:rFonts w:ascii="Times New Roman" w:hAnsi="Times New Roman" w:cs="Times New Roman"/>
          <w:lang w:val="en-US"/>
        </w:rPr>
        <w:t>See Pension Reform Act, 2014</w:t>
      </w:r>
    </w:p>
  </w:footnote>
  <w:footnote w:id="13">
    <w:p w:rsidR="00716884" w:rsidRPr="006D67DA" w:rsidRDefault="00716884" w:rsidP="00716884">
      <w:pPr>
        <w:pStyle w:val="FootnoteText"/>
        <w:spacing w:line="276" w:lineRule="auto"/>
        <w:jc w:val="both"/>
        <w:rPr>
          <w:rFonts w:ascii="Times New Roman" w:hAnsi="Times New Roman" w:cs="Times New Roman"/>
          <w:lang w:val="en-US"/>
        </w:rPr>
      </w:pPr>
      <w:r w:rsidRPr="006D67DA">
        <w:rPr>
          <w:rStyle w:val="FootnoteReference"/>
          <w:rFonts w:ascii="Times New Roman" w:hAnsi="Times New Roman" w:cs="Times New Roman"/>
        </w:rPr>
        <w:footnoteRef/>
      </w:r>
      <w:r w:rsidRPr="006D67DA">
        <w:rPr>
          <w:rFonts w:ascii="Times New Roman" w:hAnsi="Times New Roman" w:cs="Times New Roman"/>
          <w:lang w:val="en-US"/>
        </w:rPr>
        <w:t xml:space="preserve">Ibid </w:t>
      </w:r>
    </w:p>
  </w:footnote>
  <w:footnote w:id="14">
    <w:p w:rsidR="00716884" w:rsidRPr="006D67DA" w:rsidRDefault="00716884" w:rsidP="00716884">
      <w:pPr>
        <w:pStyle w:val="FootnoteText"/>
        <w:spacing w:line="276" w:lineRule="auto"/>
        <w:jc w:val="both"/>
        <w:rPr>
          <w:rFonts w:ascii="Times New Roman" w:hAnsi="Times New Roman" w:cs="Times New Roman"/>
          <w:lang w:val="en-US"/>
        </w:rPr>
      </w:pPr>
      <w:r w:rsidRPr="006D67DA">
        <w:rPr>
          <w:rStyle w:val="FootnoteReference"/>
          <w:rFonts w:ascii="Times New Roman" w:hAnsi="Times New Roman" w:cs="Times New Roman"/>
        </w:rPr>
        <w:footnoteRef/>
      </w:r>
      <w:r w:rsidRPr="006D67DA">
        <w:rPr>
          <w:rFonts w:ascii="Times New Roman" w:hAnsi="Times New Roman" w:cs="Times New Roman"/>
        </w:rPr>
        <w:t xml:space="preserve"> Section 1, </w:t>
      </w:r>
      <w:r w:rsidRPr="006D67DA">
        <w:rPr>
          <w:rFonts w:ascii="Times New Roman" w:hAnsi="Times New Roman" w:cs="Times New Roman"/>
          <w:lang w:val="en-US"/>
        </w:rPr>
        <w:t>Pension Reform Act, 2014</w:t>
      </w:r>
    </w:p>
  </w:footnote>
  <w:footnote w:id="15">
    <w:p w:rsidR="00716884" w:rsidRPr="006D67DA" w:rsidRDefault="00716884" w:rsidP="00716884">
      <w:pPr>
        <w:pStyle w:val="FootnoteText"/>
        <w:spacing w:line="276" w:lineRule="auto"/>
        <w:jc w:val="both"/>
        <w:rPr>
          <w:rFonts w:ascii="Times New Roman" w:hAnsi="Times New Roman" w:cs="Times New Roman"/>
          <w:lang w:val="en-US"/>
        </w:rPr>
      </w:pPr>
      <w:r w:rsidRPr="006D67DA">
        <w:rPr>
          <w:rStyle w:val="FootnoteReference"/>
          <w:rFonts w:ascii="Times New Roman" w:hAnsi="Times New Roman" w:cs="Times New Roman"/>
        </w:rPr>
        <w:footnoteRef/>
      </w:r>
      <w:r w:rsidRPr="006D67DA">
        <w:rPr>
          <w:rFonts w:ascii="Times New Roman" w:hAnsi="Times New Roman" w:cs="Times New Roman"/>
          <w:lang w:val="en-US"/>
        </w:rPr>
        <w:t xml:space="preserve">Ibid </w:t>
      </w:r>
    </w:p>
  </w:footnote>
  <w:footnote w:id="16">
    <w:p w:rsidR="00716884" w:rsidRPr="006D67DA" w:rsidRDefault="00716884" w:rsidP="00716884">
      <w:pPr>
        <w:pStyle w:val="FootnoteText"/>
        <w:spacing w:line="276" w:lineRule="auto"/>
        <w:jc w:val="both"/>
        <w:rPr>
          <w:rFonts w:ascii="Times New Roman" w:hAnsi="Times New Roman" w:cs="Times New Roman"/>
          <w:lang w:val="en-US"/>
        </w:rPr>
      </w:pPr>
      <w:r w:rsidRPr="006D67DA">
        <w:rPr>
          <w:rStyle w:val="FootnoteReference"/>
          <w:rFonts w:ascii="Times New Roman" w:hAnsi="Times New Roman" w:cs="Times New Roman"/>
        </w:rPr>
        <w:footnoteRef/>
      </w:r>
      <w:r w:rsidRPr="006D67DA">
        <w:rPr>
          <w:rFonts w:ascii="Times New Roman" w:hAnsi="Times New Roman" w:cs="Times New Roman"/>
          <w:lang w:val="en-US"/>
        </w:rPr>
        <w:t>Salifu, I. Odame, E.D. Abubakar, J.U. ‘University Teachers Decisions on Post-retirement Employment: Do Demographic Variables Count?’ Gerontology &amp; Geriatric Medicine, Vol. 7, 2021, 1-10</w:t>
      </w:r>
    </w:p>
  </w:footnote>
  <w:footnote w:id="17">
    <w:p w:rsidR="00716884" w:rsidRPr="006D67DA" w:rsidRDefault="00716884" w:rsidP="00716884">
      <w:pPr>
        <w:pStyle w:val="FootnoteText"/>
        <w:spacing w:line="276" w:lineRule="auto"/>
        <w:jc w:val="both"/>
        <w:rPr>
          <w:rFonts w:ascii="Times New Roman" w:hAnsi="Times New Roman" w:cs="Times New Roman"/>
          <w:lang w:val="en-US"/>
        </w:rPr>
      </w:pPr>
      <w:r w:rsidRPr="006D67DA">
        <w:rPr>
          <w:rStyle w:val="FootnoteReference"/>
          <w:rFonts w:ascii="Times New Roman" w:hAnsi="Times New Roman" w:cs="Times New Roman"/>
        </w:rPr>
        <w:footnoteRef/>
      </w:r>
      <w:r w:rsidRPr="006D67DA">
        <w:rPr>
          <w:rFonts w:ascii="Times New Roman" w:hAnsi="Times New Roman" w:cs="Times New Roman"/>
        </w:rPr>
        <w:t xml:space="preserve"> See sections 90-103 of Pension Reform Act, 2014</w:t>
      </w:r>
    </w:p>
  </w:footnote>
  <w:footnote w:id="18">
    <w:p w:rsidR="00716884" w:rsidRPr="006D67DA" w:rsidRDefault="00716884" w:rsidP="00716884">
      <w:pPr>
        <w:pStyle w:val="FootnoteText"/>
        <w:spacing w:line="276" w:lineRule="auto"/>
        <w:jc w:val="both"/>
        <w:rPr>
          <w:rFonts w:ascii="Times New Roman" w:hAnsi="Times New Roman" w:cs="Times New Roman"/>
          <w:lang w:val="en-US"/>
        </w:rPr>
      </w:pPr>
      <w:r w:rsidRPr="006D67DA">
        <w:rPr>
          <w:rStyle w:val="FootnoteReference"/>
          <w:rFonts w:ascii="Times New Roman" w:hAnsi="Times New Roman" w:cs="Times New Roman"/>
        </w:rPr>
        <w:footnoteRef/>
      </w:r>
      <w:r w:rsidRPr="006D67DA">
        <w:rPr>
          <w:rFonts w:ascii="Times New Roman" w:hAnsi="Times New Roman" w:cs="Times New Roman"/>
        </w:rPr>
        <w:t xml:space="preserve"> Umar, B. ’An Islamic Pension Fund Administration Scheme in Nigeria’ </w:t>
      </w:r>
      <w:r w:rsidRPr="006D67DA">
        <w:rPr>
          <w:rFonts w:ascii="Times New Roman" w:hAnsi="Times New Roman" w:cs="Times New Roman"/>
          <w:i/>
        </w:rPr>
        <w:t>Journal of Global Economics and Business,</w:t>
      </w:r>
      <w:r w:rsidRPr="006D67DA">
        <w:rPr>
          <w:rFonts w:ascii="Times New Roman" w:hAnsi="Times New Roman" w:cs="Times New Roman"/>
        </w:rPr>
        <w:t xml:space="preserve"> Vol. 2 (6), 89-102.  </w:t>
      </w:r>
    </w:p>
  </w:footnote>
  <w:footnote w:id="19">
    <w:p w:rsidR="00716884" w:rsidRPr="006D67DA" w:rsidRDefault="00716884" w:rsidP="00716884">
      <w:pPr>
        <w:pStyle w:val="FootnoteText"/>
        <w:spacing w:line="276" w:lineRule="auto"/>
        <w:jc w:val="both"/>
        <w:rPr>
          <w:rFonts w:ascii="Times New Roman" w:hAnsi="Times New Roman" w:cs="Times New Roman"/>
          <w:lang w:val="en-US"/>
        </w:rPr>
      </w:pPr>
      <w:r w:rsidRPr="006D67DA">
        <w:rPr>
          <w:rStyle w:val="FootnoteReference"/>
          <w:rFonts w:ascii="Times New Roman" w:hAnsi="Times New Roman" w:cs="Times New Roman"/>
        </w:rPr>
        <w:footnoteRef/>
      </w:r>
      <w:r w:rsidRPr="006D67DA">
        <w:rPr>
          <w:rFonts w:ascii="Times New Roman" w:hAnsi="Times New Roman" w:cs="Times New Roman"/>
          <w:lang w:val="en-US"/>
        </w:rPr>
        <w:t xml:space="preserve">Ibid </w:t>
      </w:r>
    </w:p>
  </w:footnote>
  <w:footnote w:id="20">
    <w:p w:rsidR="00716884" w:rsidRPr="006D67DA" w:rsidRDefault="00716884" w:rsidP="00716884">
      <w:pPr>
        <w:pStyle w:val="FootnoteText"/>
        <w:spacing w:line="276" w:lineRule="auto"/>
        <w:jc w:val="both"/>
        <w:rPr>
          <w:rFonts w:ascii="Times New Roman" w:hAnsi="Times New Roman" w:cs="Times New Roman"/>
          <w:lang w:val="en-US"/>
        </w:rPr>
      </w:pPr>
      <w:r w:rsidRPr="006D67DA">
        <w:rPr>
          <w:rStyle w:val="FootnoteReference"/>
          <w:rFonts w:ascii="Times New Roman" w:hAnsi="Times New Roman" w:cs="Times New Roman"/>
        </w:rPr>
        <w:footnoteRef/>
      </w:r>
      <w:r w:rsidRPr="006D67DA">
        <w:rPr>
          <w:rFonts w:ascii="Times New Roman" w:hAnsi="Times New Roman" w:cs="Times New Roman"/>
          <w:lang w:val="en-US"/>
        </w:rPr>
        <w:t>See sections 85-88 of Pension Reform Act, 2014.</w:t>
      </w:r>
    </w:p>
  </w:footnote>
  <w:footnote w:id="21">
    <w:p w:rsidR="00716884" w:rsidRPr="006D67DA" w:rsidRDefault="00716884" w:rsidP="00716884">
      <w:pPr>
        <w:pStyle w:val="FootnoteText"/>
        <w:spacing w:line="276" w:lineRule="auto"/>
        <w:jc w:val="both"/>
        <w:rPr>
          <w:rFonts w:ascii="Times New Roman" w:hAnsi="Times New Roman" w:cs="Times New Roman"/>
          <w:lang w:val="en-US"/>
        </w:rPr>
      </w:pPr>
      <w:r w:rsidRPr="006D67DA">
        <w:rPr>
          <w:rStyle w:val="FootnoteReference"/>
          <w:rFonts w:ascii="Times New Roman" w:hAnsi="Times New Roman" w:cs="Times New Roman"/>
        </w:rPr>
        <w:footnoteRef/>
      </w:r>
      <w:r w:rsidRPr="006D67DA">
        <w:rPr>
          <w:rFonts w:ascii="Times New Roman" w:hAnsi="Times New Roman" w:cs="Times New Roman"/>
          <w:lang w:val="en-US"/>
        </w:rPr>
        <w:t xml:space="preserve">Ibid </w:t>
      </w:r>
    </w:p>
  </w:footnote>
  <w:footnote w:id="22">
    <w:p w:rsidR="00716884" w:rsidRPr="006D67DA" w:rsidRDefault="00716884" w:rsidP="00716884">
      <w:pPr>
        <w:pStyle w:val="FootnoteText"/>
        <w:spacing w:line="276" w:lineRule="auto"/>
        <w:jc w:val="both"/>
        <w:rPr>
          <w:rFonts w:ascii="Times New Roman" w:hAnsi="Times New Roman" w:cs="Times New Roman"/>
          <w:lang w:val="en-US"/>
        </w:rPr>
      </w:pPr>
      <w:r w:rsidRPr="006D67DA">
        <w:rPr>
          <w:rStyle w:val="FootnoteReference"/>
          <w:rFonts w:ascii="Times New Roman" w:hAnsi="Times New Roman" w:cs="Times New Roman"/>
        </w:rPr>
        <w:footnoteRef/>
      </w:r>
      <w:r w:rsidRPr="006D67DA">
        <w:rPr>
          <w:rFonts w:ascii="Times New Roman" w:hAnsi="Times New Roman" w:cs="Times New Roman"/>
        </w:rPr>
        <w:t>Ismail Al Faruqi &amp; Gammal Al Banna, Towards Islamic Labour &amp; Unionism: Three Papers 68 (1984); see also Hauwa Ibrahim, Practicing Sharia Law: Seven Strategies For Achieving Justice In Shariah Courts 203 (2012) (discussing the importance of the concept of justice in Islam).</w:t>
      </w:r>
    </w:p>
  </w:footnote>
  <w:footnote w:id="23">
    <w:p w:rsidR="00716884" w:rsidRPr="006D67DA" w:rsidRDefault="00716884" w:rsidP="00716884">
      <w:pPr>
        <w:pStyle w:val="FootnoteText"/>
        <w:spacing w:line="276" w:lineRule="auto"/>
        <w:jc w:val="both"/>
        <w:rPr>
          <w:rFonts w:ascii="Times New Roman" w:hAnsi="Times New Roman" w:cs="Times New Roman"/>
          <w:lang w:val="en-US"/>
        </w:rPr>
      </w:pPr>
      <w:r w:rsidRPr="006D67DA">
        <w:rPr>
          <w:rStyle w:val="FootnoteReference"/>
          <w:rFonts w:ascii="Times New Roman" w:hAnsi="Times New Roman" w:cs="Times New Roman"/>
        </w:rPr>
        <w:footnoteRef/>
      </w:r>
      <w:r w:rsidRPr="006D67DA">
        <w:rPr>
          <w:rFonts w:ascii="Times New Roman" w:hAnsi="Times New Roman" w:cs="Times New Roman"/>
        </w:rPr>
        <w:t>Ibid</w:t>
      </w:r>
    </w:p>
  </w:footnote>
  <w:footnote w:id="24">
    <w:p w:rsidR="00716884" w:rsidRPr="006D67DA" w:rsidRDefault="00716884" w:rsidP="00716884">
      <w:pPr>
        <w:pStyle w:val="FootnoteText"/>
        <w:spacing w:line="276" w:lineRule="auto"/>
        <w:jc w:val="both"/>
        <w:rPr>
          <w:rFonts w:ascii="Times New Roman" w:hAnsi="Times New Roman" w:cs="Times New Roman"/>
        </w:rPr>
      </w:pPr>
      <w:r w:rsidRPr="006D67DA">
        <w:rPr>
          <w:rStyle w:val="FootnoteReference"/>
          <w:rFonts w:ascii="Times New Roman" w:hAnsi="Times New Roman" w:cs="Times New Roman"/>
        </w:rPr>
        <w:footnoteRef/>
      </w:r>
      <w:r w:rsidRPr="006D67DA">
        <w:rPr>
          <w:rFonts w:ascii="Times New Roman" w:hAnsi="Times New Roman" w:cs="Times New Roman"/>
        </w:rPr>
        <w:t xml:space="preserve"> Muhammad Iman Sastra Mihajat </w:t>
      </w:r>
      <w:r w:rsidRPr="006D67DA">
        <w:rPr>
          <w:rFonts w:ascii="Times New Roman" w:hAnsi="Times New Roman" w:cs="Times New Roman"/>
          <w:i/>
        </w:rPr>
        <w:t>“Contemporary Practice of Ribā, Gharar And Maysir In Islamic Banking And Finance”</w:t>
      </w:r>
      <w:r w:rsidRPr="006D67DA">
        <w:rPr>
          <w:rFonts w:ascii="Times New Roman" w:hAnsi="Times New Roman" w:cs="Times New Roman"/>
        </w:rPr>
        <w:t xml:space="preserve"> 1 International Journal of Islamic Management and Business Vol. 2, No. 2, (August 2016)</w:t>
      </w:r>
    </w:p>
  </w:footnote>
  <w:footnote w:id="25">
    <w:p w:rsidR="00716884" w:rsidRPr="006D67DA" w:rsidRDefault="00716884" w:rsidP="00716884">
      <w:pPr>
        <w:pStyle w:val="FootnoteText"/>
        <w:spacing w:line="276" w:lineRule="auto"/>
        <w:jc w:val="both"/>
        <w:rPr>
          <w:rFonts w:ascii="Times New Roman" w:hAnsi="Times New Roman" w:cs="Times New Roman"/>
        </w:rPr>
      </w:pPr>
      <w:r w:rsidRPr="006D67DA">
        <w:rPr>
          <w:rStyle w:val="FootnoteReference"/>
          <w:rFonts w:ascii="Times New Roman" w:hAnsi="Times New Roman" w:cs="Times New Roman"/>
        </w:rPr>
        <w:footnoteRef/>
      </w:r>
      <w:r w:rsidRPr="006D67DA">
        <w:rPr>
          <w:rFonts w:ascii="Times New Roman" w:hAnsi="Times New Roman" w:cs="Times New Roman"/>
        </w:rPr>
        <w:t xml:space="preserve"> Ibid.</w:t>
      </w:r>
    </w:p>
  </w:footnote>
  <w:footnote w:id="26">
    <w:p w:rsidR="00716884" w:rsidRPr="006D67DA" w:rsidRDefault="00716884" w:rsidP="00716884">
      <w:pPr>
        <w:pStyle w:val="FootnoteText"/>
        <w:spacing w:line="276" w:lineRule="auto"/>
        <w:jc w:val="both"/>
        <w:rPr>
          <w:rFonts w:ascii="Times New Roman" w:hAnsi="Times New Roman" w:cs="Times New Roman"/>
        </w:rPr>
      </w:pPr>
      <w:r w:rsidRPr="006D67DA">
        <w:rPr>
          <w:rStyle w:val="FootnoteReference"/>
          <w:rFonts w:ascii="Times New Roman" w:hAnsi="Times New Roman" w:cs="Times New Roman"/>
        </w:rPr>
        <w:footnoteRef/>
      </w:r>
      <w:r w:rsidRPr="006D67DA">
        <w:rPr>
          <w:rFonts w:ascii="Times New Roman" w:hAnsi="Times New Roman" w:cs="Times New Roman"/>
        </w:rPr>
        <w:t xml:space="preserve"> Nima Mersadi Tabari,</w:t>
      </w:r>
      <w:r w:rsidRPr="006D67DA">
        <w:rPr>
          <w:rFonts w:ascii="Times New Roman" w:hAnsi="Times New Roman" w:cs="Times New Roman"/>
          <w:i/>
        </w:rPr>
        <w:t xml:space="preserve"> 'Islamic finance and the modem world: the legal principles governing Islamic finance in international trade'</w:t>
      </w:r>
      <w:r w:rsidRPr="006D67DA">
        <w:rPr>
          <w:rFonts w:ascii="Times New Roman" w:hAnsi="Times New Roman" w:cs="Times New Roman"/>
        </w:rPr>
        <w:t xml:space="preserve">, The Company Lawyer 31(8) (2010), pp.249-254. </w:t>
      </w:r>
    </w:p>
  </w:footnote>
  <w:footnote w:id="27">
    <w:p w:rsidR="00716884" w:rsidRPr="006D67DA" w:rsidRDefault="00716884" w:rsidP="00716884">
      <w:pPr>
        <w:pStyle w:val="FootnoteText"/>
        <w:spacing w:line="276" w:lineRule="auto"/>
        <w:jc w:val="both"/>
        <w:rPr>
          <w:rFonts w:ascii="Times New Roman" w:hAnsi="Times New Roman" w:cs="Times New Roman"/>
        </w:rPr>
      </w:pPr>
      <w:r w:rsidRPr="006D67DA">
        <w:rPr>
          <w:rStyle w:val="FootnoteReference"/>
          <w:rFonts w:ascii="Times New Roman" w:hAnsi="Times New Roman" w:cs="Times New Roman"/>
        </w:rPr>
        <w:footnoteRef/>
      </w:r>
      <w:r w:rsidRPr="006D67DA">
        <w:rPr>
          <w:rFonts w:ascii="Times New Roman" w:hAnsi="Times New Roman" w:cs="Times New Roman"/>
        </w:rPr>
        <w:t xml:space="preserve"> 1263-1328, full name, Taqi ad-Din Abu 1-Abbas Ahmad ibn Abd al-Halim ibn Abd as-Salam Ibn Taymiyyah al-Harrani, renowned scholar of the Hanbali School of law.</w:t>
      </w:r>
    </w:p>
  </w:footnote>
  <w:footnote w:id="28">
    <w:p w:rsidR="00716884" w:rsidRPr="006D67DA" w:rsidRDefault="00716884" w:rsidP="00716884">
      <w:pPr>
        <w:pStyle w:val="FootnoteText"/>
        <w:spacing w:line="276" w:lineRule="auto"/>
        <w:jc w:val="both"/>
        <w:rPr>
          <w:rFonts w:ascii="Times New Roman" w:hAnsi="Times New Roman" w:cs="Times New Roman"/>
        </w:rPr>
      </w:pPr>
      <w:r w:rsidRPr="006D67DA">
        <w:rPr>
          <w:rStyle w:val="FootnoteReference"/>
          <w:rFonts w:ascii="Times New Roman" w:hAnsi="Times New Roman" w:cs="Times New Roman"/>
        </w:rPr>
        <w:footnoteRef/>
      </w:r>
      <w:r w:rsidRPr="006D67DA">
        <w:rPr>
          <w:rFonts w:ascii="Times New Roman" w:hAnsi="Times New Roman" w:cs="Times New Roman"/>
        </w:rPr>
        <w:t xml:space="preserve">  Sami al-Suwailem, </w:t>
      </w:r>
      <w:r w:rsidRPr="006D67DA">
        <w:rPr>
          <w:rFonts w:ascii="Times New Roman" w:hAnsi="Times New Roman" w:cs="Times New Roman"/>
          <w:i/>
        </w:rPr>
        <w:t>"Towards an objective measure of gharar in exchange",</w:t>
      </w:r>
      <w:r w:rsidRPr="006D67DA">
        <w:rPr>
          <w:rFonts w:ascii="Times New Roman" w:hAnsi="Times New Roman" w:cs="Times New Roman"/>
        </w:rPr>
        <w:t xml:space="preserve"> Islamic Economic Studies, Vol. 7(1 &amp; 2) (Oct. 1999, April. 2000)</w:t>
      </w:r>
    </w:p>
  </w:footnote>
  <w:footnote w:id="29">
    <w:p w:rsidR="00716884" w:rsidRPr="006D67DA" w:rsidRDefault="00716884" w:rsidP="00716884">
      <w:pPr>
        <w:pStyle w:val="FootnoteText"/>
        <w:spacing w:line="276" w:lineRule="auto"/>
        <w:jc w:val="both"/>
        <w:rPr>
          <w:rFonts w:ascii="Times New Roman" w:hAnsi="Times New Roman" w:cs="Times New Roman"/>
        </w:rPr>
      </w:pPr>
      <w:r w:rsidRPr="006D67DA">
        <w:rPr>
          <w:rStyle w:val="FootnoteReference"/>
          <w:rFonts w:ascii="Times New Roman" w:hAnsi="Times New Roman" w:cs="Times New Roman"/>
        </w:rPr>
        <w:footnoteRef/>
      </w:r>
      <w:r w:rsidRPr="006D67DA">
        <w:rPr>
          <w:rFonts w:ascii="Times New Roman" w:hAnsi="Times New Roman" w:cs="Times New Roman"/>
        </w:rPr>
        <w:t xml:space="preserve">  1292-1350, full name Ibn al-Qayyim al-Jawziyyah, scholar of the Hanbali School.</w:t>
      </w:r>
    </w:p>
  </w:footnote>
  <w:footnote w:id="30">
    <w:p w:rsidR="00716884" w:rsidRPr="006D67DA" w:rsidRDefault="00716884" w:rsidP="00716884">
      <w:pPr>
        <w:pStyle w:val="FootnoteText"/>
        <w:spacing w:line="276" w:lineRule="auto"/>
        <w:jc w:val="both"/>
        <w:rPr>
          <w:rFonts w:ascii="Times New Roman" w:hAnsi="Times New Roman" w:cs="Times New Roman"/>
        </w:rPr>
      </w:pPr>
      <w:r w:rsidRPr="006D67DA">
        <w:rPr>
          <w:rStyle w:val="FootnoteReference"/>
          <w:rFonts w:ascii="Times New Roman" w:hAnsi="Times New Roman" w:cs="Times New Roman"/>
        </w:rPr>
        <w:footnoteRef/>
      </w:r>
      <w:r w:rsidRPr="006D67DA">
        <w:rPr>
          <w:rFonts w:ascii="Times New Roman" w:hAnsi="Times New Roman" w:cs="Times New Roman"/>
        </w:rPr>
        <w:t xml:space="preserve"> Sami al-Suwailem, supra note</w:t>
      </w:r>
    </w:p>
  </w:footnote>
  <w:footnote w:id="31">
    <w:p w:rsidR="00716884" w:rsidRPr="006D67DA" w:rsidRDefault="00716884" w:rsidP="00716884">
      <w:pPr>
        <w:pStyle w:val="FootnoteText"/>
        <w:spacing w:line="276" w:lineRule="auto"/>
        <w:jc w:val="both"/>
        <w:rPr>
          <w:rFonts w:ascii="Times New Roman" w:hAnsi="Times New Roman" w:cs="Times New Roman"/>
        </w:rPr>
      </w:pPr>
      <w:r w:rsidRPr="006D67DA">
        <w:rPr>
          <w:rStyle w:val="FootnoteReference"/>
          <w:rFonts w:ascii="Times New Roman" w:hAnsi="Times New Roman" w:cs="Times New Roman"/>
        </w:rPr>
        <w:footnoteRef/>
      </w:r>
      <w:r w:rsidRPr="006D67DA">
        <w:rPr>
          <w:rFonts w:ascii="Times New Roman" w:hAnsi="Times New Roman" w:cs="Times New Roman"/>
        </w:rPr>
        <w:t xml:space="preserve">  Sami al-Suwailem, supra note 4. 7 To ensure equity of a transaction, each party should have a detailed knowledge of the subject matter, thereby removing the inclusion of uncertainty (gharar) in the contract which results in illicit gain (riba al-fadl or riba of excess); Averroes, or Ibn Rushd (d. 1198), a great Malik! jurist who stated the cause of an illicit sale has four grounds: riba, gharar and terms that conduce one or two or a combination of the last two. F.E. Vogel and S.L. Hayes, III, Islamic Law and Finance, Religion, Risk and Return, Arab &amp; Islamic Laws Series (Leiden: Brill, 1998) pp. 68,78</w:t>
      </w:r>
    </w:p>
  </w:footnote>
  <w:footnote w:id="32">
    <w:p w:rsidR="00716884" w:rsidRPr="006D67DA" w:rsidRDefault="00716884" w:rsidP="00716884">
      <w:pPr>
        <w:pStyle w:val="FootnoteText"/>
        <w:spacing w:line="276" w:lineRule="auto"/>
        <w:jc w:val="both"/>
        <w:rPr>
          <w:rFonts w:ascii="Times New Roman" w:hAnsi="Times New Roman" w:cs="Times New Roman"/>
        </w:rPr>
      </w:pPr>
      <w:r w:rsidRPr="006D67DA">
        <w:rPr>
          <w:rStyle w:val="FootnoteReference"/>
          <w:rFonts w:ascii="Times New Roman" w:hAnsi="Times New Roman" w:cs="Times New Roman"/>
        </w:rPr>
        <w:footnoteRef/>
      </w:r>
      <w:r w:rsidRPr="006D67DA">
        <w:rPr>
          <w:rFonts w:ascii="Times New Roman" w:hAnsi="Times New Roman" w:cs="Times New Roman"/>
        </w:rPr>
        <w:t xml:space="preserve">  Sami al-Suwailem, supra note 4. 7 To ensure equity of a transaction, each party should have a detailed knowledge of the subject matter, thereby removing the inclusion of uncertainty (gharar) in the contract which results in illicit gain (riba al-fadl or riba of excess); Averroes, or Ibn Rushd (d. 1198), a great Malik! jurist who stated the cause of an illicit sale has four grounds: riba, gharar and terms that conduce one or two or a combination of the last two. F.E. Vogel and S.L. Hayes, III, Islamic Law and Finance, Religion, Risk and Return, Arab &amp; Islamic Laws Series (Leiden: Brill, 1998) pp. 68,78</w:t>
      </w:r>
    </w:p>
  </w:footnote>
  <w:footnote w:id="33">
    <w:p w:rsidR="00716884" w:rsidRPr="006D67DA" w:rsidRDefault="00716884" w:rsidP="00716884">
      <w:pPr>
        <w:pStyle w:val="FootnoteText"/>
        <w:spacing w:line="276" w:lineRule="auto"/>
        <w:jc w:val="both"/>
        <w:rPr>
          <w:rFonts w:ascii="Times New Roman" w:hAnsi="Times New Roman" w:cs="Times New Roman"/>
        </w:rPr>
      </w:pPr>
      <w:r w:rsidRPr="006D67DA">
        <w:rPr>
          <w:rStyle w:val="FootnoteReference"/>
          <w:rFonts w:ascii="Times New Roman" w:hAnsi="Times New Roman" w:cs="Times New Roman"/>
        </w:rPr>
        <w:footnoteRef/>
      </w:r>
      <w:r w:rsidRPr="006D67DA">
        <w:rPr>
          <w:rFonts w:ascii="Times New Roman" w:hAnsi="Times New Roman" w:cs="Times New Roman"/>
        </w:rPr>
        <w:t xml:space="preserve"> Kamali, M. H. </w:t>
      </w:r>
      <w:r w:rsidRPr="006D67DA">
        <w:rPr>
          <w:rFonts w:ascii="Times New Roman" w:hAnsi="Times New Roman" w:cs="Times New Roman"/>
          <w:i/>
        </w:rPr>
        <w:t>“Uncertainty and Risk Taking (Gharar) in Islamic Law”</w:t>
      </w:r>
      <w:r w:rsidRPr="006D67DA">
        <w:rPr>
          <w:rFonts w:ascii="Times New Roman" w:hAnsi="Times New Roman" w:cs="Times New Roman"/>
        </w:rPr>
        <w:t>, paper presented at The International Conference on Takaful Insurance, Hilton Hotel, Kuala Lumpur, Malaysia, June 2 1999. IIUM Law Journal, Vol. 7, No. 2 (1999), pp 1-21. (1999),</w:t>
      </w:r>
    </w:p>
  </w:footnote>
  <w:footnote w:id="34">
    <w:p w:rsidR="00716884" w:rsidRPr="006D67DA" w:rsidRDefault="00716884" w:rsidP="00716884">
      <w:pPr>
        <w:pStyle w:val="FootnoteText"/>
        <w:spacing w:line="276" w:lineRule="auto"/>
        <w:jc w:val="both"/>
        <w:rPr>
          <w:rFonts w:ascii="Times New Roman" w:hAnsi="Times New Roman" w:cs="Times New Roman"/>
        </w:rPr>
      </w:pPr>
      <w:r w:rsidRPr="006D67DA">
        <w:rPr>
          <w:rStyle w:val="FootnoteReference"/>
          <w:rFonts w:ascii="Times New Roman" w:hAnsi="Times New Roman" w:cs="Times New Roman"/>
        </w:rPr>
        <w:footnoteRef/>
      </w:r>
      <w:r w:rsidRPr="006D67DA">
        <w:rPr>
          <w:rFonts w:ascii="Times New Roman" w:hAnsi="Times New Roman" w:cs="Times New Roman"/>
        </w:rPr>
        <w:t xml:space="preserve"> Ahmad, Taris et al. </w:t>
      </w:r>
      <w:r w:rsidRPr="006D67DA">
        <w:rPr>
          <w:rFonts w:ascii="Times New Roman" w:hAnsi="Times New Roman" w:cs="Times New Roman"/>
          <w:i/>
        </w:rPr>
        <w:t>“Islamic Banking and Finance: What It Is and What It Should Be</w:t>
      </w:r>
      <w:r w:rsidRPr="006D67DA">
        <w:rPr>
          <w:rFonts w:ascii="Times New Roman" w:hAnsi="Times New Roman" w:cs="Times New Roman"/>
        </w:rPr>
        <w:t xml:space="preserve">”, UK: 1st Etichal Charitable Trust. (2010), </w:t>
      </w:r>
      <w:r w:rsidR="00EB61B7" w:rsidRPr="00EB61B7">
        <w:rPr>
          <w:rFonts w:ascii="Times New Roman" w:hAnsi="Times New Roman" w:cs="Times New Roman"/>
        </w:rPr>
        <w:t>p. 5</w:t>
      </w:r>
    </w:p>
  </w:footnote>
  <w:footnote w:id="35">
    <w:p w:rsidR="00716884" w:rsidRPr="006D67DA" w:rsidRDefault="00716884" w:rsidP="00716884">
      <w:pPr>
        <w:pStyle w:val="FootnoteText"/>
        <w:spacing w:line="276" w:lineRule="auto"/>
        <w:jc w:val="both"/>
        <w:rPr>
          <w:rFonts w:ascii="Times New Roman" w:hAnsi="Times New Roman" w:cs="Times New Roman"/>
        </w:rPr>
      </w:pPr>
      <w:r w:rsidRPr="006D67DA">
        <w:rPr>
          <w:rStyle w:val="FootnoteReference"/>
          <w:rFonts w:ascii="Times New Roman" w:hAnsi="Times New Roman" w:cs="Times New Roman"/>
        </w:rPr>
        <w:footnoteRef/>
      </w:r>
      <w:r w:rsidRPr="006D67DA">
        <w:rPr>
          <w:rFonts w:ascii="Times New Roman" w:hAnsi="Times New Roman" w:cs="Times New Roman"/>
        </w:rPr>
        <w:t xml:space="preserve"> Ibn Rushd, Abu Walīd Muhammad ibn Ahmad. (1401/1981). </w:t>
      </w:r>
      <w:r w:rsidRPr="006D67DA">
        <w:rPr>
          <w:rFonts w:ascii="Times New Roman" w:hAnsi="Times New Roman" w:cs="Times New Roman"/>
          <w:i/>
        </w:rPr>
        <w:t>“Bidayat al Mujtahid wa Nihayat al Muqtasid”,</w:t>
      </w:r>
      <w:r w:rsidRPr="006D67DA">
        <w:rPr>
          <w:rFonts w:ascii="Times New Roman" w:hAnsi="Times New Roman" w:cs="Times New Roman"/>
        </w:rPr>
        <w:t xml:space="preserve"> Vol. 2.  Beirut: Dār al-Kutub Al-„Ilmiyyah.</w:t>
      </w:r>
    </w:p>
  </w:footnote>
  <w:footnote w:id="36">
    <w:p w:rsidR="00716884" w:rsidRPr="006D67DA" w:rsidRDefault="00716884" w:rsidP="00716884">
      <w:pPr>
        <w:pStyle w:val="FootnoteText"/>
        <w:spacing w:line="276" w:lineRule="auto"/>
        <w:jc w:val="both"/>
        <w:rPr>
          <w:rFonts w:ascii="Times New Roman" w:hAnsi="Times New Roman" w:cs="Times New Roman"/>
        </w:rPr>
      </w:pPr>
      <w:r w:rsidRPr="006D67DA">
        <w:rPr>
          <w:rStyle w:val="FootnoteReference"/>
          <w:rFonts w:ascii="Times New Roman" w:hAnsi="Times New Roman" w:cs="Times New Roman"/>
        </w:rPr>
        <w:footnoteRef/>
      </w:r>
      <w:r w:rsidRPr="006D67DA">
        <w:rPr>
          <w:rFonts w:ascii="Times New Roman" w:hAnsi="Times New Roman" w:cs="Times New Roman"/>
        </w:rPr>
        <w:t xml:space="preserve"> Ibid.</w:t>
      </w:r>
    </w:p>
  </w:footnote>
  <w:footnote w:id="37">
    <w:p w:rsidR="00716884" w:rsidRPr="006D67DA" w:rsidRDefault="00716884" w:rsidP="00716884">
      <w:pPr>
        <w:pStyle w:val="FootnoteText"/>
        <w:spacing w:line="276" w:lineRule="auto"/>
        <w:jc w:val="both"/>
        <w:rPr>
          <w:rFonts w:ascii="Times New Roman" w:hAnsi="Times New Roman" w:cs="Times New Roman"/>
        </w:rPr>
      </w:pPr>
      <w:r w:rsidRPr="006D67DA">
        <w:rPr>
          <w:rStyle w:val="FootnoteReference"/>
          <w:rFonts w:ascii="Times New Roman" w:hAnsi="Times New Roman" w:cs="Times New Roman"/>
        </w:rPr>
        <w:footnoteRef/>
      </w:r>
      <w:r w:rsidRPr="006D67DA">
        <w:rPr>
          <w:rFonts w:ascii="Times New Roman" w:hAnsi="Times New Roman" w:cs="Times New Roman"/>
        </w:rPr>
        <w:t xml:space="preserve"> Kamali, M. H. </w:t>
      </w:r>
      <w:r w:rsidRPr="006D67DA">
        <w:rPr>
          <w:rFonts w:ascii="Times New Roman" w:hAnsi="Times New Roman" w:cs="Times New Roman"/>
          <w:i/>
        </w:rPr>
        <w:t>“Fiqhi Issues in Commodity Futures in “Financial Engineering and Islamic Contracts</w:t>
      </w:r>
      <w:r w:rsidRPr="006D67DA">
        <w:rPr>
          <w:rFonts w:ascii="Times New Roman" w:hAnsi="Times New Roman" w:cs="Times New Roman"/>
        </w:rPr>
        <w:t xml:space="preserve">”, New York: Palgraves. (2005)., pp 20-57. </w:t>
      </w:r>
    </w:p>
  </w:footnote>
  <w:footnote w:id="38">
    <w:p w:rsidR="00716884" w:rsidRPr="006D67DA" w:rsidRDefault="00716884" w:rsidP="00716884">
      <w:pPr>
        <w:pStyle w:val="FootnoteText"/>
        <w:spacing w:line="276" w:lineRule="auto"/>
        <w:jc w:val="both"/>
        <w:rPr>
          <w:rFonts w:ascii="Times New Roman" w:hAnsi="Times New Roman" w:cs="Times New Roman"/>
        </w:rPr>
      </w:pPr>
      <w:r w:rsidRPr="006D67DA">
        <w:rPr>
          <w:rStyle w:val="FootnoteReference"/>
          <w:rFonts w:ascii="Times New Roman" w:hAnsi="Times New Roman" w:cs="Times New Roman"/>
        </w:rPr>
        <w:footnoteRef/>
      </w:r>
      <w:r w:rsidRPr="006D67DA">
        <w:rPr>
          <w:rFonts w:ascii="Times New Roman" w:hAnsi="Times New Roman" w:cs="Times New Roman"/>
        </w:rPr>
        <w:t xml:space="preserve"> Ahmad, W. M. </w:t>
      </w:r>
      <w:r w:rsidRPr="006D67DA">
        <w:rPr>
          <w:rFonts w:ascii="Times New Roman" w:hAnsi="Times New Roman" w:cs="Times New Roman"/>
          <w:i/>
        </w:rPr>
        <w:t>“Some Issues of Gharar (Uncertainty) in Insurance”.</w:t>
      </w:r>
      <w:r w:rsidRPr="006D67DA">
        <w:rPr>
          <w:rFonts w:ascii="Times New Roman" w:hAnsi="Times New Roman" w:cs="Times New Roman"/>
        </w:rPr>
        <w:t xml:space="preserve"> Jurnal Syariah , (2002), 10 (2).</w:t>
      </w:r>
    </w:p>
  </w:footnote>
  <w:footnote w:id="39">
    <w:p w:rsidR="00716884" w:rsidRPr="006D67DA" w:rsidRDefault="00716884" w:rsidP="00716884">
      <w:pPr>
        <w:pStyle w:val="FootnoteText"/>
        <w:spacing w:line="276" w:lineRule="auto"/>
        <w:jc w:val="both"/>
        <w:rPr>
          <w:rFonts w:ascii="Times New Roman" w:hAnsi="Times New Roman" w:cs="Times New Roman"/>
        </w:rPr>
      </w:pPr>
      <w:r w:rsidRPr="006D67DA">
        <w:rPr>
          <w:rStyle w:val="FootnoteReference"/>
          <w:rFonts w:ascii="Times New Roman" w:hAnsi="Times New Roman" w:cs="Times New Roman"/>
        </w:rPr>
        <w:footnoteRef/>
      </w:r>
      <w:r w:rsidRPr="006D67DA">
        <w:rPr>
          <w:rFonts w:ascii="Times New Roman" w:hAnsi="Times New Roman" w:cs="Times New Roman"/>
        </w:rPr>
        <w:t xml:space="preserve"> Al-Qurthubī, Abi „Abd Allah Muhammad Ibn Ahmad al-Anshārī. </w:t>
      </w:r>
      <w:r w:rsidRPr="006D67DA">
        <w:rPr>
          <w:rFonts w:ascii="Times New Roman" w:hAnsi="Times New Roman" w:cs="Times New Roman"/>
          <w:i/>
        </w:rPr>
        <w:t>“Al-Jāmi’ Li Ahkām Al-Qur’ān”,</w:t>
      </w:r>
      <w:r w:rsidRPr="006D67DA">
        <w:rPr>
          <w:rFonts w:ascii="Times New Roman" w:hAnsi="Times New Roman" w:cs="Times New Roman"/>
        </w:rPr>
        <w:t xml:space="preserve"> Dār al-Hadith, Vol. 2. Cairo: (2010).</w:t>
      </w:r>
    </w:p>
  </w:footnote>
  <w:footnote w:id="40">
    <w:p w:rsidR="00716884" w:rsidRPr="006D67DA" w:rsidRDefault="00716884" w:rsidP="00716884">
      <w:pPr>
        <w:pStyle w:val="FootnoteText"/>
        <w:spacing w:line="276" w:lineRule="auto"/>
        <w:jc w:val="both"/>
        <w:rPr>
          <w:rFonts w:ascii="Times New Roman" w:hAnsi="Times New Roman" w:cs="Times New Roman"/>
        </w:rPr>
      </w:pPr>
      <w:r w:rsidRPr="006D67DA">
        <w:rPr>
          <w:rStyle w:val="FootnoteReference"/>
          <w:rFonts w:ascii="Times New Roman" w:hAnsi="Times New Roman" w:cs="Times New Roman"/>
        </w:rPr>
        <w:footnoteRef/>
      </w:r>
      <w:r w:rsidRPr="006D67DA">
        <w:rPr>
          <w:rFonts w:ascii="Times New Roman" w:hAnsi="Times New Roman" w:cs="Times New Roman"/>
        </w:rPr>
        <w:t xml:space="preserve"> ibid</w:t>
      </w:r>
    </w:p>
  </w:footnote>
  <w:footnote w:id="41">
    <w:p w:rsidR="00716884" w:rsidRPr="006D67DA" w:rsidRDefault="00716884" w:rsidP="00716884">
      <w:pPr>
        <w:pStyle w:val="FootnoteText"/>
        <w:spacing w:line="276" w:lineRule="auto"/>
        <w:jc w:val="both"/>
        <w:rPr>
          <w:rFonts w:ascii="Times New Roman" w:hAnsi="Times New Roman" w:cs="Times New Roman"/>
        </w:rPr>
      </w:pPr>
      <w:r w:rsidRPr="006D67DA">
        <w:rPr>
          <w:rStyle w:val="FootnoteReference"/>
          <w:rFonts w:ascii="Times New Roman" w:hAnsi="Times New Roman" w:cs="Times New Roman"/>
        </w:rPr>
        <w:footnoteRef/>
      </w:r>
      <w:r w:rsidRPr="006D67DA">
        <w:rPr>
          <w:rFonts w:ascii="Times New Roman" w:hAnsi="Times New Roman" w:cs="Times New Roman"/>
        </w:rPr>
        <w:t xml:space="preserve"> Al-Misri, Rafiq Yunus. </w:t>
      </w:r>
      <w:r w:rsidRPr="006D67DA">
        <w:rPr>
          <w:rFonts w:ascii="Times New Roman" w:hAnsi="Times New Roman" w:cs="Times New Roman"/>
          <w:i/>
        </w:rPr>
        <w:t>“Al-Maysir wa al-Qimar al-Musābaqaāt wa al-Jawāiz”,</w:t>
      </w:r>
      <w:r w:rsidRPr="006D67DA">
        <w:rPr>
          <w:rFonts w:ascii="Times New Roman" w:hAnsi="Times New Roman" w:cs="Times New Roman"/>
        </w:rPr>
        <w:t xml:space="preserve"> Damascus. (1993).</w:t>
      </w:r>
    </w:p>
  </w:footnote>
  <w:footnote w:id="42">
    <w:p w:rsidR="00716884" w:rsidRPr="006D67DA" w:rsidRDefault="00716884" w:rsidP="00716884">
      <w:pPr>
        <w:pStyle w:val="FootnoteText"/>
        <w:spacing w:line="276" w:lineRule="auto"/>
        <w:jc w:val="both"/>
        <w:rPr>
          <w:rFonts w:ascii="Times New Roman" w:hAnsi="Times New Roman" w:cs="Times New Roman"/>
        </w:rPr>
      </w:pPr>
      <w:r w:rsidRPr="006D67DA">
        <w:rPr>
          <w:rStyle w:val="FootnoteReference"/>
          <w:rFonts w:ascii="Times New Roman" w:hAnsi="Times New Roman" w:cs="Times New Roman"/>
        </w:rPr>
        <w:footnoteRef/>
      </w:r>
      <w:r w:rsidRPr="006D67DA">
        <w:rPr>
          <w:rFonts w:ascii="Times New Roman" w:hAnsi="Times New Roman" w:cs="Times New Roman"/>
        </w:rPr>
        <w:t xml:space="preserve"> Kamali, M. H. </w:t>
      </w:r>
      <w:r w:rsidRPr="006D67DA">
        <w:rPr>
          <w:rFonts w:ascii="Times New Roman" w:hAnsi="Times New Roman" w:cs="Times New Roman"/>
          <w:i/>
        </w:rPr>
        <w:t>“Fiqhi Issues in Commodity Futures in “Financial Engineering and Islamic Contracts”,</w:t>
      </w:r>
      <w:r w:rsidRPr="006D67DA">
        <w:rPr>
          <w:rFonts w:ascii="Times New Roman" w:hAnsi="Times New Roman" w:cs="Times New Roman"/>
        </w:rPr>
        <w:t xml:space="preserve"> New York: Palgraves.  (2005), pp 20-57. </w:t>
      </w:r>
    </w:p>
  </w:footnote>
  <w:footnote w:id="43">
    <w:p w:rsidR="00716884" w:rsidRPr="006D67DA" w:rsidRDefault="00716884" w:rsidP="00716884">
      <w:pPr>
        <w:pStyle w:val="FootnoteText"/>
        <w:spacing w:line="276" w:lineRule="auto"/>
        <w:jc w:val="both"/>
        <w:rPr>
          <w:rFonts w:ascii="Times New Roman" w:hAnsi="Times New Roman" w:cs="Times New Roman"/>
        </w:rPr>
      </w:pPr>
      <w:r w:rsidRPr="006D67DA">
        <w:rPr>
          <w:rStyle w:val="FootnoteReference"/>
          <w:rFonts w:ascii="Times New Roman" w:hAnsi="Times New Roman" w:cs="Times New Roman"/>
        </w:rPr>
        <w:footnoteRef/>
      </w:r>
      <w:r w:rsidRPr="006D67DA">
        <w:rPr>
          <w:rFonts w:ascii="Times New Roman" w:hAnsi="Times New Roman" w:cs="Times New Roman"/>
        </w:rPr>
        <w:t xml:space="preserve">  Qur’an 5:90</w:t>
      </w:r>
    </w:p>
  </w:footnote>
  <w:footnote w:id="44">
    <w:p w:rsidR="00716884" w:rsidRPr="006D67DA" w:rsidRDefault="00716884" w:rsidP="00716884">
      <w:pPr>
        <w:pStyle w:val="FootnoteText"/>
        <w:spacing w:line="276" w:lineRule="auto"/>
        <w:jc w:val="both"/>
        <w:rPr>
          <w:rFonts w:ascii="Times New Roman" w:hAnsi="Times New Roman" w:cs="Times New Roman"/>
        </w:rPr>
      </w:pPr>
      <w:r w:rsidRPr="006D67DA">
        <w:rPr>
          <w:rStyle w:val="FootnoteReference"/>
          <w:rFonts w:ascii="Times New Roman" w:hAnsi="Times New Roman" w:cs="Times New Roman"/>
        </w:rPr>
        <w:footnoteRef/>
      </w:r>
      <w:r w:rsidRPr="006D67DA">
        <w:rPr>
          <w:rFonts w:ascii="Times New Roman" w:hAnsi="Times New Roman" w:cs="Times New Roman"/>
        </w:rPr>
        <w:t xml:space="preserve">  Qur’an 5:91</w:t>
      </w:r>
    </w:p>
  </w:footnote>
  <w:footnote w:id="45">
    <w:p w:rsidR="00716884" w:rsidRPr="006D67DA" w:rsidRDefault="00716884" w:rsidP="00716884">
      <w:pPr>
        <w:pStyle w:val="FootnoteText"/>
        <w:spacing w:line="276" w:lineRule="auto"/>
        <w:jc w:val="both"/>
        <w:rPr>
          <w:rFonts w:ascii="Times New Roman" w:hAnsi="Times New Roman" w:cs="Times New Roman"/>
        </w:rPr>
      </w:pPr>
      <w:r w:rsidRPr="006D67DA">
        <w:rPr>
          <w:rStyle w:val="FootnoteReference"/>
          <w:rFonts w:ascii="Times New Roman" w:hAnsi="Times New Roman" w:cs="Times New Roman"/>
        </w:rPr>
        <w:footnoteRef/>
      </w:r>
      <w:r w:rsidRPr="006D67DA">
        <w:rPr>
          <w:rFonts w:ascii="Times New Roman" w:hAnsi="Times New Roman" w:cs="Times New Roman"/>
        </w:rPr>
        <w:t xml:space="preserve">Nicholas C. Dau-Schmidt, </w:t>
      </w:r>
      <w:r w:rsidRPr="006D67DA">
        <w:rPr>
          <w:rFonts w:ascii="Times New Roman" w:hAnsi="Times New Roman" w:cs="Times New Roman"/>
          <w:i/>
        </w:rPr>
        <w:t>“ Forward Contracts—Prohibitions on Risk and Speculation Under Islamic Law”</w:t>
      </w:r>
      <w:r w:rsidRPr="006D67DA">
        <w:rPr>
          <w:rFonts w:ascii="Times New Roman" w:hAnsi="Times New Roman" w:cs="Times New Roman"/>
        </w:rPr>
        <w:t xml:space="preserve"> Indiana Journal of Global Legal Studies , Vol. 19, No. 2 (Summer 2012), pp. 533-553: Indiana University Press Stable URL: </w:t>
      </w:r>
      <w:hyperlink r:id="rId3" w:history="1">
        <w:r w:rsidRPr="006D67DA">
          <w:rPr>
            <w:rStyle w:val="Hyperlink"/>
            <w:rFonts w:ascii="Times New Roman" w:hAnsi="Times New Roman" w:cs="Times New Roman"/>
          </w:rPr>
          <w:t>https://www.jstor.org/stable/10.2979/indjglolegstu.19.2.533</w:t>
        </w:r>
      </w:hyperlink>
      <w:r w:rsidRPr="006D67DA">
        <w:rPr>
          <w:rFonts w:ascii="Times New Roman" w:hAnsi="Times New Roman" w:cs="Times New Roman"/>
        </w:rPr>
        <w:t xml:space="preserve"> accessed 15/09/19</w:t>
      </w:r>
    </w:p>
  </w:footnote>
  <w:footnote w:id="46">
    <w:p w:rsidR="00716884" w:rsidRPr="006D67DA" w:rsidRDefault="00716884" w:rsidP="00716884">
      <w:pPr>
        <w:pStyle w:val="FootnoteText"/>
        <w:spacing w:line="276" w:lineRule="auto"/>
        <w:jc w:val="both"/>
        <w:rPr>
          <w:rFonts w:ascii="Times New Roman" w:hAnsi="Times New Roman" w:cs="Times New Roman"/>
        </w:rPr>
      </w:pPr>
      <w:r w:rsidRPr="006D67DA">
        <w:rPr>
          <w:rStyle w:val="FootnoteReference"/>
          <w:rFonts w:ascii="Times New Roman" w:hAnsi="Times New Roman" w:cs="Times New Roman"/>
        </w:rPr>
        <w:footnoteRef/>
      </w:r>
      <w:r w:rsidRPr="006D67DA">
        <w:rPr>
          <w:rFonts w:ascii="Times New Roman" w:hAnsi="Times New Roman" w:cs="Times New Roman"/>
        </w:rPr>
        <w:t xml:space="preserve">  See frank E. Vogel &amp; Samuel . Hayes, , </w:t>
      </w:r>
      <w:r w:rsidRPr="006D67DA">
        <w:rPr>
          <w:rFonts w:ascii="Times New Roman" w:hAnsi="Times New Roman" w:cs="Times New Roman"/>
          <w:i/>
        </w:rPr>
        <w:t>“Islamic law and finance: religion,risk, and return”</w:t>
      </w:r>
      <w:r w:rsidRPr="006D67DA">
        <w:rPr>
          <w:rFonts w:ascii="Times New Roman" w:hAnsi="Times New Roman" w:cs="Times New Roman"/>
        </w:rPr>
        <w:t xml:space="preserve"> (these hadiths on gharar, which means “risk” or “uncertainty” in Arabic, are attributed to Ibn Hanbal, Ibn Maja, Bukhari, and Muslim). (1998), p. 88</w:t>
      </w:r>
    </w:p>
  </w:footnote>
  <w:footnote w:id="47">
    <w:p w:rsidR="00716884" w:rsidRPr="006D67DA" w:rsidRDefault="00716884" w:rsidP="00716884">
      <w:pPr>
        <w:pStyle w:val="FootnoteText"/>
        <w:spacing w:line="276" w:lineRule="auto"/>
        <w:jc w:val="both"/>
        <w:rPr>
          <w:rFonts w:ascii="Times New Roman" w:hAnsi="Times New Roman" w:cs="Times New Roman"/>
        </w:rPr>
      </w:pPr>
      <w:r w:rsidRPr="006D67DA">
        <w:rPr>
          <w:rStyle w:val="FootnoteReference"/>
          <w:rFonts w:ascii="Times New Roman" w:hAnsi="Times New Roman" w:cs="Times New Roman"/>
        </w:rPr>
        <w:footnoteRef/>
      </w:r>
      <w:r w:rsidR="00E14E8A">
        <w:rPr>
          <w:rFonts w:ascii="Times New Roman" w:hAnsi="Times New Roman" w:cs="Times New Roman"/>
        </w:rPr>
        <w:t xml:space="preserve"> Ibid </w:t>
      </w:r>
    </w:p>
  </w:footnote>
  <w:footnote w:id="48">
    <w:p w:rsidR="00716884" w:rsidRPr="006D67DA" w:rsidRDefault="00716884" w:rsidP="00716884">
      <w:pPr>
        <w:pStyle w:val="FootnoteText"/>
        <w:spacing w:line="276" w:lineRule="auto"/>
        <w:jc w:val="both"/>
        <w:rPr>
          <w:rFonts w:ascii="Times New Roman" w:hAnsi="Times New Roman" w:cs="Times New Roman"/>
        </w:rPr>
      </w:pPr>
      <w:r w:rsidRPr="006D67DA">
        <w:rPr>
          <w:rStyle w:val="FootnoteReference"/>
          <w:rFonts w:ascii="Times New Roman" w:hAnsi="Times New Roman" w:cs="Times New Roman"/>
        </w:rPr>
        <w:footnoteRef/>
      </w:r>
      <w:r w:rsidRPr="006D67DA">
        <w:rPr>
          <w:rFonts w:ascii="Times New Roman" w:hAnsi="Times New Roman" w:cs="Times New Roman"/>
        </w:rPr>
        <w:t xml:space="preserve"> Q22;5</w:t>
      </w:r>
    </w:p>
  </w:footnote>
  <w:footnote w:id="49">
    <w:p w:rsidR="00716884" w:rsidRPr="006D67DA" w:rsidRDefault="00716884" w:rsidP="00716884">
      <w:pPr>
        <w:pStyle w:val="FootnoteText"/>
        <w:spacing w:line="276" w:lineRule="auto"/>
        <w:jc w:val="both"/>
        <w:rPr>
          <w:rFonts w:ascii="Times New Roman" w:hAnsi="Times New Roman" w:cs="Times New Roman"/>
        </w:rPr>
      </w:pPr>
      <w:r w:rsidRPr="006D67DA">
        <w:rPr>
          <w:rStyle w:val="FootnoteReference"/>
          <w:rFonts w:ascii="Times New Roman" w:hAnsi="Times New Roman" w:cs="Times New Roman"/>
        </w:rPr>
        <w:footnoteRef/>
      </w:r>
      <w:r w:rsidRPr="006D67DA">
        <w:rPr>
          <w:rFonts w:ascii="Times New Roman" w:hAnsi="Times New Roman" w:cs="Times New Roman"/>
        </w:rPr>
        <w:t xml:space="preserve"> Q16:92</w:t>
      </w:r>
    </w:p>
  </w:footnote>
  <w:footnote w:id="50">
    <w:p w:rsidR="00716884" w:rsidRPr="006D67DA" w:rsidRDefault="00716884" w:rsidP="00716884">
      <w:pPr>
        <w:pStyle w:val="FootnoteText"/>
        <w:spacing w:line="276" w:lineRule="auto"/>
        <w:jc w:val="both"/>
        <w:rPr>
          <w:rFonts w:ascii="Times New Roman" w:hAnsi="Times New Roman" w:cs="Times New Roman"/>
        </w:rPr>
      </w:pPr>
      <w:r w:rsidRPr="006D67DA">
        <w:rPr>
          <w:rStyle w:val="FootnoteReference"/>
          <w:rFonts w:ascii="Times New Roman" w:hAnsi="Times New Roman" w:cs="Times New Roman"/>
        </w:rPr>
        <w:footnoteRef/>
      </w:r>
      <w:r w:rsidRPr="006D67DA">
        <w:rPr>
          <w:rFonts w:ascii="Times New Roman" w:hAnsi="Times New Roman" w:cs="Times New Roman"/>
        </w:rPr>
        <w:t xml:space="preserve"> Al-Zuhaili’. </w:t>
      </w:r>
      <w:r w:rsidRPr="006D67DA">
        <w:rPr>
          <w:rFonts w:ascii="Times New Roman" w:hAnsi="Times New Roman" w:cs="Times New Roman"/>
          <w:i/>
        </w:rPr>
        <w:t>“Financial Transactions in Islamic Jurisprudence”.</w:t>
      </w:r>
      <w:r w:rsidRPr="006D67DA">
        <w:rPr>
          <w:rFonts w:ascii="Times New Roman" w:hAnsi="Times New Roman" w:cs="Times New Roman"/>
        </w:rPr>
        <w:t xml:space="preserve"> (M. A. El-Gamal, Trans.) Damascus: Dar Al-Fikr. (2001),</w:t>
      </w:r>
    </w:p>
  </w:footnote>
  <w:footnote w:id="51">
    <w:p w:rsidR="00716884" w:rsidRPr="006D67DA" w:rsidRDefault="00716884" w:rsidP="00716884">
      <w:pPr>
        <w:spacing w:after="0"/>
        <w:jc w:val="both"/>
        <w:rPr>
          <w:rFonts w:ascii="Times New Roman" w:hAnsi="Times New Roman" w:cs="Times New Roman"/>
          <w:sz w:val="20"/>
          <w:szCs w:val="20"/>
        </w:rPr>
      </w:pPr>
      <w:r w:rsidRPr="006D67DA">
        <w:rPr>
          <w:rStyle w:val="FootnoteReference"/>
          <w:rFonts w:ascii="Times New Roman" w:hAnsi="Times New Roman" w:cs="Times New Roman"/>
          <w:sz w:val="20"/>
          <w:szCs w:val="20"/>
        </w:rPr>
        <w:footnoteRef/>
      </w:r>
      <w:r w:rsidRPr="006D67DA">
        <w:rPr>
          <w:rFonts w:ascii="Times New Roman" w:hAnsi="Times New Roman" w:cs="Times New Roman"/>
          <w:sz w:val="20"/>
          <w:szCs w:val="20"/>
        </w:rPr>
        <w:t xml:space="preserve"> Reyadh Mohamed Seyadi, </w:t>
      </w:r>
      <w:r w:rsidRPr="006D67DA">
        <w:rPr>
          <w:rFonts w:ascii="Times New Roman" w:hAnsi="Times New Roman" w:cs="Times New Roman"/>
          <w:i/>
          <w:sz w:val="20"/>
          <w:szCs w:val="20"/>
        </w:rPr>
        <w:t>“Legal Aspect of Islamic Finance”</w:t>
      </w:r>
      <w:r w:rsidRPr="006D67DA">
        <w:rPr>
          <w:rFonts w:ascii="Times New Roman" w:hAnsi="Times New Roman" w:cs="Times New Roman"/>
          <w:sz w:val="20"/>
          <w:szCs w:val="20"/>
        </w:rPr>
        <w:t xml:space="preserve"> Arab Law Quarterly, Vol. 29, No. 3 (2015), pp. 285-295 Published by: Brill Stable URL: </w:t>
      </w:r>
      <w:hyperlink r:id="rId4" w:history="1">
        <w:r w:rsidRPr="006D67DA">
          <w:rPr>
            <w:rStyle w:val="Hyperlink"/>
            <w:rFonts w:ascii="Times New Roman" w:hAnsi="Times New Roman" w:cs="Times New Roman"/>
            <w:sz w:val="20"/>
            <w:szCs w:val="20"/>
          </w:rPr>
          <w:t>https://www.jstor.org/stable/24811029</w:t>
        </w:r>
      </w:hyperlink>
      <w:r w:rsidRPr="006D67DA">
        <w:rPr>
          <w:rFonts w:ascii="Times New Roman" w:hAnsi="Times New Roman" w:cs="Times New Roman"/>
          <w:sz w:val="20"/>
          <w:szCs w:val="20"/>
        </w:rPr>
        <w:t xml:space="preserve">/  Accessed: 15-09-2019 </w:t>
      </w:r>
    </w:p>
  </w:footnote>
  <w:footnote w:id="52">
    <w:p w:rsidR="00716884" w:rsidRPr="006D67DA" w:rsidRDefault="00716884" w:rsidP="00716884">
      <w:pPr>
        <w:pStyle w:val="FootnoteText"/>
        <w:spacing w:line="276" w:lineRule="auto"/>
        <w:jc w:val="both"/>
        <w:rPr>
          <w:rFonts w:ascii="Times New Roman" w:hAnsi="Times New Roman" w:cs="Times New Roman"/>
        </w:rPr>
      </w:pPr>
      <w:r w:rsidRPr="006D67DA">
        <w:rPr>
          <w:rStyle w:val="FootnoteReference"/>
          <w:rFonts w:ascii="Times New Roman" w:hAnsi="Times New Roman" w:cs="Times New Roman"/>
        </w:rPr>
        <w:footnoteRef/>
      </w:r>
      <w:r w:rsidRPr="006D67DA">
        <w:rPr>
          <w:rFonts w:ascii="Times New Roman" w:hAnsi="Times New Roman" w:cs="Times New Roman"/>
        </w:rPr>
        <w:t xml:space="preserve"> Muhammed, S A.  </w:t>
      </w:r>
      <w:r w:rsidRPr="006D67DA">
        <w:rPr>
          <w:rFonts w:ascii="Times New Roman" w:hAnsi="Times New Roman" w:cs="Times New Roman"/>
          <w:i/>
        </w:rPr>
        <w:t>“Understanding Islamic Finance”</w:t>
      </w:r>
      <w:r w:rsidRPr="006D67DA">
        <w:rPr>
          <w:rFonts w:ascii="Times New Roman" w:hAnsi="Times New Roman" w:cs="Times New Roman"/>
        </w:rPr>
        <w:t xml:space="preserve"> (London: John Wiley &amp; Sons, 2008), p.58.</w:t>
      </w:r>
    </w:p>
  </w:footnote>
  <w:footnote w:id="53">
    <w:p w:rsidR="00716884" w:rsidRPr="006D67DA" w:rsidRDefault="00716884" w:rsidP="00716884">
      <w:pPr>
        <w:pStyle w:val="FootnoteText"/>
        <w:spacing w:line="276" w:lineRule="auto"/>
        <w:jc w:val="both"/>
        <w:rPr>
          <w:rFonts w:ascii="Times New Roman" w:hAnsi="Times New Roman" w:cs="Times New Roman"/>
        </w:rPr>
      </w:pPr>
      <w:r w:rsidRPr="006D67DA">
        <w:rPr>
          <w:rStyle w:val="FootnoteReference"/>
          <w:rFonts w:ascii="Times New Roman" w:hAnsi="Times New Roman" w:cs="Times New Roman"/>
        </w:rPr>
        <w:footnoteRef/>
      </w:r>
      <w:r w:rsidRPr="006D67DA">
        <w:rPr>
          <w:rFonts w:ascii="Times New Roman" w:hAnsi="Times New Roman" w:cs="Times New Roman"/>
        </w:rPr>
        <w:t xml:space="preserve"> Muhammad Iman Sastra Mihajat1’. </w:t>
      </w:r>
      <w:r w:rsidRPr="006D67DA">
        <w:rPr>
          <w:rFonts w:ascii="Times New Roman" w:hAnsi="Times New Roman" w:cs="Times New Roman"/>
          <w:i/>
        </w:rPr>
        <w:t>“ Contemporary Practice Of Ribā, Gharar And Maysir In Islamic Banking And Finance”</w:t>
      </w:r>
      <w:r w:rsidRPr="006D67DA">
        <w:rPr>
          <w:rFonts w:ascii="Times New Roman" w:hAnsi="Times New Roman" w:cs="Times New Roman"/>
        </w:rPr>
        <w:t xml:space="preserve"> IIUM International Journal of Islamic Management and Business Vol. 2, No. 2, (August 2016) </w:t>
      </w:r>
    </w:p>
  </w:footnote>
  <w:footnote w:id="54">
    <w:p w:rsidR="00716884" w:rsidRPr="006D67DA" w:rsidRDefault="00716884" w:rsidP="00716884">
      <w:pPr>
        <w:pStyle w:val="FootnoteText"/>
        <w:spacing w:line="276" w:lineRule="auto"/>
        <w:jc w:val="both"/>
        <w:rPr>
          <w:rFonts w:ascii="Times New Roman" w:hAnsi="Times New Roman" w:cs="Times New Roman"/>
        </w:rPr>
      </w:pPr>
      <w:r w:rsidRPr="006D67DA">
        <w:rPr>
          <w:rStyle w:val="FootnoteReference"/>
          <w:rFonts w:ascii="Times New Roman" w:hAnsi="Times New Roman" w:cs="Times New Roman"/>
        </w:rPr>
        <w:footnoteRef/>
      </w:r>
      <w:r w:rsidRPr="006D67DA">
        <w:rPr>
          <w:rFonts w:ascii="Times New Roman" w:hAnsi="Times New Roman" w:cs="Times New Roman"/>
        </w:rPr>
        <w:t xml:space="preserve"> Ibid</w:t>
      </w:r>
    </w:p>
  </w:footnote>
  <w:footnote w:id="55">
    <w:p w:rsidR="00716884" w:rsidRPr="006D67DA" w:rsidRDefault="00716884" w:rsidP="00716884">
      <w:pPr>
        <w:pStyle w:val="FootnoteText"/>
        <w:spacing w:line="276" w:lineRule="auto"/>
        <w:jc w:val="both"/>
        <w:rPr>
          <w:rFonts w:ascii="Times New Roman" w:hAnsi="Times New Roman" w:cs="Times New Roman"/>
        </w:rPr>
      </w:pPr>
      <w:r w:rsidRPr="006D67DA">
        <w:rPr>
          <w:rStyle w:val="FootnoteReference"/>
          <w:rFonts w:ascii="Times New Roman" w:hAnsi="Times New Roman" w:cs="Times New Roman"/>
        </w:rPr>
        <w:footnoteRef/>
      </w:r>
      <w:r w:rsidRPr="006D67DA">
        <w:rPr>
          <w:rFonts w:ascii="Times New Roman" w:hAnsi="Times New Roman" w:cs="Times New Roman"/>
        </w:rPr>
        <w:t xml:space="preserve"> Qur’an 3 verse130</w:t>
      </w:r>
    </w:p>
  </w:footnote>
  <w:footnote w:id="56">
    <w:p w:rsidR="00716884" w:rsidRPr="006D67DA" w:rsidRDefault="00716884" w:rsidP="00716884">
      <w:pPr>
        <w:pStyle w:val="FootnoteText"/>
        <w:spacing w:line="276" w:lineRule="auto"/>
        <w:jc w:val="both"/>
        <w:rPr>
          <w:rFonts w:ascii="Times New Roman" w:hAnsi="Times New Roman" w:cs="Times New Roman"/>
        </w:rPr>
      </w:pPr>
      <w:r w:rsidRPr="006D67DA">
        <w:rPr>
          <w:rStyle w:val="FootnoteReference"/>
          <w:rFonts w:ascii="Times New Roman" w:hAnsi="Times New Roman" w:cs="Times New Roman"/>
        </w:rPr>
        <w:footnoteRef/>
      </w:r>
      <w:r w:rsidRPr="006D67DA">
        <w:rPr>
          <w:rFonts w:ascii="Times New Roman" w:hAnsi="Times New Roman" w:cs="Times New Roman"/>
        </w:rPr>
        <w:t xml:space="preserve">  Tabari quoted in A. Saeed, </w:t>
      </w:r>
      <w:r w:rsidRPr="006D67DA">
        <w:rPr>
          <w:rFonts w:ascii="Times New Roman" w:hAnsi="Times New Roman" w:cs="Times New Roman"/>
          <w:i/>
        </w:rPr>
        <w:t>“Islamic Banking and Interest: A Study of the Prohibition of Riba and its Contemporary Interpretation”</w:t>
      </w:r>
      <w:r w:rsidRPr="006D67DA">
        <w:rPr>
          <w:rFonts w:ascii="Times New Roman" w:hAnsi="Times New Roman" w:cs="Times New Roman"/>
        </w:rPr>
        <w:t xml:space="preserve"> (New York, 1996), p. 22. Hereinafter A. Saaed. 4 Ibn Hajar quoted in A. Saeed, 22.</w:t>
      </w:r>
    </w:p>
  </w:footnote>
  <w:footnote w:id="57">
    <w:p w:rsidR="00716884" w:rsidRPr="006D67DA" w:rsidRDefault="00716884" w:rsidP="00716884">
      <w:pPr>
        <w:jc w:val="both"/>
        <w:rPr>
          <w:rFonts w:ascii="Times New Roman" w:hAnsi="Times New Roman" w:cs="Times New Roman"/>
          <w:sz w:val="20"/>
          <w:szCs w:val="20"/>
        </w:rPr>
      </w:pPr>
      <w:r w:rsidRPr="006D67DA">
        <w:rPr>
          <w:rStyle w:val="FootnoteReference"/>
          <w:rFonts w:ascii="Times New Roman" w:hAnsi="Times New Roman" w:cs="Times New Roman"/>
          <w:sz w:val="20"/>
          <w:szCs w:val="20"/>
        </w:rPr>
        <w:footnoteRef/>
      </w:r>
      <w:r w:rsidRPr="006D67DA">
        <w:rPr>
          <w:rFonts w:ascii="Times New Roman" w:hAnsi="Times New Roman" w:cs="Times New Roman"/>
          <w:sz w:val="20"/>
          <w:szCs w:val="20"/>
        </w:rPr>
        <w:t xml:space="preserve"> Mohammad Omar Farooq’. </w:t>
      </w:r>
      <w:r w:rsidRPr="006D67DA">
        <w:rPr>
          <w:rFonts w:ascii="Times New Roman" w:hAnsi="Times New Roman" w:cs="Times New Roman"/>
          <w:i/>
          <w:sz w:val="20"/>
          <w:szCs w:val="20"/>
        </w:rPr>
        <w:t>“Stipulation of Excess in Understanding and Misunderstanding Riba</w:t>
      </w:r>
      <w:r w:rsidRPr="006D67DA">
        <w:rPr>
          <w:rFonts w:ascii="Times New Roman" w:hAnsi="Times New Roman" w:cs="Times New Roman"/>
          <w:sz w:val="20"/>
          <w:szCs w:val="20"/>
        </w:rPr>
        <w:t xml:space="preserve">”: The Al-Jassas Link Arab Law Quarterly, Vol. 21, No. 4 (2007), pp.285-316 Published by: Brill Stable </w:t>
      </w:r>
      <w:hyperlink r:id="rId5" w:history="1">
        <w:r w:rsidRPr="006D67DA">
          <w:rPr>
            <w:rStyle w:val="Hyperlink"/>
            <w:rFonts w:ascii="Times New Roman" w:hAnsi="Times New Roman" w:cs="Times New Roman"/>
            <w:sz w:val="20"/>
            <w:szCs w:val="20"/>
          </w:rPr>
          <w:t>URL:https://www.jstor.org/stable/27650597/</w:t>
        </w:r>
      </w:hyperlink>
      <w:r w:rsidRPr="006D67DA">
        <w:rPr>
          <w:rFonts w:ascii="Times New Roman" w:hAnsi="Times New Roman" w:cs="Times New Roman"/>
          <w:sz w:val="20"/>
          <w:szCs w:val="20"/>
        </w:rPr>
        <w:t xml:space="preserve">  Accessed: 15-09-2019 04:02 UTC</w:t>
      </w:r>
    </w:p>
    <w:p w:rsidR="00716884" w:rsidRPr="006D67DA" w:rsidRDefault="00716884" w:rsidP="00716884">
      <w:pPr>
        <w:pStyle w:val="FootnoteText"/>
        <w:spacing w:line="276" w:lineRule="auto"/>
        <w:jc w:val="both"/>
        <w:rPr>
          <w:rFonts w:ascii="Times New Roman" w:hAnsi="Times New Roman" w:cs="Times New Roman"/>
        </w:rPr>
      </w:pPr>
    </w:p>
  </w:footnote>
  <w:footnote w:id="58">
    <w:p w:rsidR="00716884" w:rsidRPr="006D67DA" w:rsidRDefault="00716884" w:rsidP="00716884">
      <w:pPr>
        <w:pStyle w:val="FootnoteText"/>
        <w:spacing w:line="276" w:lineRule="auto"/>
        <w:jc w:val="both"/>
        <w:rPr>
          <w:rFonts w:ascii="Times New Roman" w:hAnsi="Times New Roman" w:cs="Times New Roman"/>
        </w:rPr>
      </w:pPr>
      <w:r w:rsidRPr="006D67DA">
        <w:rPr>
          <w:rStyle w:val="FootnoteReference"/>
          <w:rFonts w:ascii="Times New Roman" w:hAnsi="Times New Roman" w:cs="Times New Roman"/>
        </w:rPr>
        <w:footnoteRef/>
      </w:r>
      <w:r w:rsidRPr="006D67DA">
        <w:rPr>
          <w:rFonts w:ascii="Times New Roman" w:hAnsi="Times New Roman" w:cs="Times New Roman"/>
        </w:rPr>
        <w:t xml:space="preserve"> Ibn al-Qayyim al-Jawziyyah, Muhammad ibn Abī Bakr. “</w:t>
      </w:r>
      <w:r w:rsidRPr="006D67DA">
        <w:rPr>
          <w:rFonts w:ascii="Times New Roman" w:hAnsi="Times New Roman" w:cs="Times New Roman"/>
          <w:i/>
        </w:rPr>
        <w:t>I’lām al-Muwaqi’īn‘an Rab al-‘Ālamīn”</w:t>
      </w:r>
      <w:r w:rsidRPr="006D67DA">
        <w:rPr>
          <w:rFonts w:ascii="Times New Roman" w:hAnsi="Times New Roman" w:cs="Times New Roman"/>
        </w:rPr>
        <w:t>, Vol. 3. Cairo: Maktabah Ibn Taimiyyah, (1999).</w:t>
      </w:r>
    </w:p>
  </w:footnote>
  <w:footnote w:id="59">
    <w:p w:rsidR="00716884" w:rsidRPr="006D67DA" w:rsidRDefault="00716884" w:rsidP="00716884">
      <w:pPr>
        <w:pStyle w:val="FootnoteText"/>
        <w:spacing w:line="276" w:lineRule="auto"/>
        <w:jc w:val="both"/>
        <w:rPr>
          <w:rFonts w:ascii="Times New Roman" w:hAnsi="Times New Roman" w:cs="Times New Roman"/>
        </w:rPr>
      </w:pPr>
      <w:r w:rsidRPr="006D67DA">
        <w:rPr>
          <w:rStyle w:val="FootnoteReference"/>
          <w:rFonts w:ascii="Times New Roman" w:hAnsi="Times New Roman" w:cs="Times New Roman"/>
        </w:rPr>
        <w:footnoteRef/>
      </w:r>
      <w:r w:rsidRPr="006D67DA">
        <w:rPr>
          <w:rFonts w:ascii="Times New Roman" w:hAnsi="Times New Roman" w:cs="Times New Roman"/>
        </w:rPr>
        <w:t xml:space="preserve"> Al-Shirbīnī, Syamsuddīin Muhammad ibn Muhammad al-Khatīb. </w:t>
      </w:r>
      <w:r w:rsidRPr="006D67DA">
        <w:rPr>
          <w:rFonts w:ascii="Times New Roman" w:hAnsi="Times New Roman" w:cs="Times New Roman"/>
          <w:i/>
        </w:rPr>
        <w:t>“Mughni alMuhtāj ilā Ma’rifati Ma’ānī Alfāzi al-Minhāj</w:t>
      </w:r>
      <w:r w:rsidRPr="006D67DA">
        <w:rPr>
          <w:rFonts w:ascii="Times New Roman" w:hAnsi="Times New Roman" w:cs="Times New Roman"/>
        </w:rPr>
        <w:t xml:space="preserve">, Cairo: Dār al-Hadith ,Vol. 2. (2006).  . </w:t>
      </w:r>
    </w:p>
  </w:footnote>
  <w:footnote w:id="60">
    <w:p w:rsidR="00716884" w:rsidRPr="006D67DA" w:rsidRDefault="00716884" w:rsidP="00716884">
      <w:pPr>
        <w:pStyle w:val="FootnoteText"/>
        <w:spacing w:line="276" w:lineRule="auto"/>
        <w:jc w:val="both"/>
        <w:rPr>
          <w:rFonts w:ascii="Times New Roman" w:hAnsi="Times New Roman" w:cs="Times New Roman"/>
        </w:rPr>
      </w:pPr>
      <w:r w:rsidRPr="006D67DA">
        <w:rPr>
          <w:rStyle w:val="FootnoteReference"/>
          <w:rFonts w:ascii="Times New Roman" w:hAnsi="Times New Roman" w:cs="Times New Roman"/>
        </w:rPr>
        <w:footnoteRef/>
      </w:r>
      <w:r w:rsidRPr="006D67DA">
        <w:rPr>
          <w:rFonts w:ascii="Times New Roman" w:hAnsi="Times New Roman" w:cs="Times New Roman"/>
        </w:rPr>
        <w:t xml:space="preserve"> Chpara, Umer. </w:t>
      </w:r>
      <w:r w:rsidRPr="006D67DA">
        <w:rPr>
          <w:rFonts w:ascii="Times New Roman" w:hAnsi="Times New Roman" w:cs="Times New Roman"/>
          <w:i/>
        </w:rPr>
        <w:t>“Islamic Banking and Finance: Fundamental and Contemporary Issues, chapter of “The Case Against Riba: Is It Compelling?”.</w:t>
      </w:r>
      <w:r w:rsidRPr="006D67DA">
        <w:rPr>
          <w:rFonts w:ascii="Times New Roman" w:hAnsi="Times New Roman" w:cs="Times New Roman"/>
        </w:rPr>
        <w:t xml:space="preserve"> Saudi Arabia: IRTI-IDB, (2004), pp. 25-50.  </w:t>
      </w:r>
    </w:p>
  </w:footnote>
  <w:footnote w:id="61">
    <w:p w:rsidR="00716884" w:rsidRPr="006D67DA" w:rsidRDefault="00716884" w:rsidP="00716884">
      <w:pPr>
        <w:pStyle w:val="FootnoteText"/>
        <w:spacing w:line="276" w:lineRule="auto"/>
        <w:jc w:val="both"/>
        <w:rPr>
          <w:rFonts w:ascii="Times New Roman" w:hAnsi="Times New Roman" w:cs="Times New Roman"/>
        </w:rPr>
      </w:pPr>
      <w:r w:rsidRPr="006D67DA">
        <w:rPr>
          <w:rStyle w:val="FootnoteReference"/>
          <w:rFonts w:ascii="Times New Roman" w:hAnsi="Times New Roman" w:cs="Times New Roman"/>
        </w:rPr>
        <w:footnoteRef/>
      </w:r>
      <w:r w:rsidRPr="006D67DA">
        <w:rPr>
          <w:rFonts w:ascii="Times New Roman" w:hAnsi="Times New Roman" w:cs="Times New Roman"/>
        </w:rPr>
        <w:t xml:space="preserve"> Al-Shirbīnī, Syamsuddīin Muhammad ibn Muhammad al-Khatīb. </w:t>
      </w:r>
      <w:r w:rsidRPr="006D67DA">
        <w:rPr>
          <w:rFonts w:ascii="Times New Roman" w:hAnsi="Times New Roman" w:cs="Times New Roman"/>
          <w:i/>
        </w:rPr>
        <w:t>“Mughni alMuhtāj ilā Ma’rifati Ma’ānī Alfāzi al-Minhāj</w:t>
      </w:r>
      <w:r w:rsidRPr="006D67DA">
        <w:rPr>
          <w:rFonts w:ascii="Times New Roman" w:hAnsi="Times New Roman" w:cs="Times New Roman"/>
        </w:rPr>
        <w:t>, Op.Cit</w:t>
      </w:r>
    </w:p>
  </w:footnote>
  <w:footnote w:id="62">
    <w:p w:rsidR="00716884" w:rsidRPr="006D67DA" w:rsidRDefault="00716884" w:rsidP="00716884">
      <w:pPr>
        <w:pStyle w:val="FootnoteText"/>
        <w:spacing w:line="276" w:lineRule="auto"/>
        <w:jc w:val="both"/>
        <w:rPr>
          <w:rFonts w:ascii="Times New Roman" w:hAnsi="Times New Roman" w:cs="Times New Roman"/>
        </w:rPr>
      </w:pPr>
      <w:r w:rsidRPr="006D67DA">
        <w:rPr>
          <w:rStyle w:val="FootnoteReference"/>
          <w:rFonts w:ascii="Times New Roman" w:hAnsi="Times New Roman" w:cs="Times New Roman"/>
        </w:rPr>
        <w:footnoteRef/>
      </w:r>
      <w:r w:rsidRPr="006D67DA">
        <w:rPr>
          <w:rFonts w:ascii="Times New Roman" w:hAnsi="Times New Roman" w:cs="Times New Roman"/>
        </w:rPr>
        <w:t xml:space="preserve"> Muhammad Iman Sastra Mihajat </w:t>
      </w:r>
      <w:r w:rsidRPr="006D67DA">
        <w:rPr>
          <w:rFonts w:ascii="Times New Roman" w:hAnsi="Times New Roman" w:cs="Times New Roman"/>
          <w:i/>
        </w:rPr>
        <w:t>“Contemporary Practice Of Ribā, Gharar And Maysir In Islamic Banking And Finance”</w:t>
      </w:r>
      <w:r w:rsidRPr="006D67DA">
        <w:rPr>
          <w:rFonts w:ascii="Times New Roman" w:hAnsi="Times New Roman" w:cs="Times New Roman"/>
        </w:rPr>
        <w:t xml:space="preserve"> IIUM International Journal of Islamic Management and Business Vol. 2, No. 2, August 2016</w:t>
      </w:r>
    </w:p>
  </w:footnote>
  <w:footnote w:id="63">
    <w:p w:rsidR="00716884" w:rsidRPr="006D67DA" w:rsidRDefault="00716884" w:rsidP="00716884">
      <w:pPr>
        <w:jc w:val="both"/>
        <w:rPr>
          <w:rFonts w:ascii="Times New Roman" w:hAnsi="Times New Roman" w:cs="Times New Roman"/>
          <w:sz w:val="20"/>
          <w:szCs w:val="20"/>
        </w:rPr>
      </w:pPr>
      <w:r w:rsidRPr="006D67DA">
        <w:rPr>
          <w:rStyle w:val="FootnoteReference"/>
          <w:rFonts w:ascii="Times New Roman" w:hAnsi="Times New Roman" w:cs="Times New Roman"/>
          <w:sz w:val="20"/>
          <w:szCs w:val="20"/>
        </w:rPr>
        <w:footnoteRef/>
      </w:r>
      <w:r w:rsidRPr="006D67DA">
        <w:rPr>
          <w:rFonts w:ascii="Times New Roman" w:hAnsi="Times New Roman" w:cs="Times New Roman"/>
          <w:sz w:val="20"/>
          <w:szCs w:val="20"/>
        </w:rPr>
        <w:t xml:space="preserve">Bashar H. Malkawi </w:t>
      </w:r>
      <w:r w:rsidRPr="006D67DA">
        <w:rPr>
          <w:rFonts w:ascii="Times New Roman" w:hAnsi="Times New Roman" w:cs="Times New Roman"/>
          <w:i/>
          <w:sz w:val="20"/>
          <w:szCs w:val="20"/>
        </w:rPr>
        <w:t>“Shari'ah Board in the Governance Structure of Islamic Financial Institutions Source</w:t>
      </w:r>
      <w:r w:rsidRPr="006D67DA">
        <w:rPr>
          <w:rFonts w:ascii="Times New Roman" w:hAnsi="Times New Roman" w:cs="Times New Roman"/>
          <w:sz w:val="20"/>
          <w:szCs w:val="20"/>
        </w:rPr>
        <w:t xml:space="preserve">”: The American Journal of Comparative Law, Vol. 61, No. 3 (SUMMER 2013), pp. 539-577 Published by: Oxford University Press Stable URL: </w:t>
      </w:r>
      <w:hyperlink r:id="rId6" w:history="1">
        <w:r w:rsidRPr="006D67DA">
          <w:rPr>
            <w:rStyle w:val="Hyperlink"/>
            <w:rFonts w:ascii="Times New Roman" w:hAnsi="Times New Roman" w:cs="Times New Roman"/>
            <w:sz w:val="20"/>
            <w:szCs w:val="20"/>
          </w:rPr>
          <w:t>https://www.jstor.org/stable/43668167/</w:t>
        </w:r>
      </w:hyperlink>
      <w:r w:rsidRPr="006D67DA">
        <w:rPr>
          <w:rFonts w:ascii="Times New Roman" w:hAnsi="Times New Roman" w:cs="Times New Roman"/>
          <w:sz w:val="20"/>
          <w:szCs w:val="20"/>
        </w:rPr>
        <w:t xml:space="preserve">  Accessed: 15-09-2019</w:t>
      </w:r>
    </w:p>
  </w:footnote>
  <w:footnote w:id="64">
    <w:p w:rsidR="00716884" w:rsidRPr="006D67DA" w:rsidRDefault="00716884" w:rsidP="00716884">
      <w:pPr>
        <w:pStyle w:val="FootnoteText"/>
        <w:spacing w:line="276" w:lineRule="auto"/>
        <w:jc w:val="both"/>
        <w:rPr>
          <w:rFonts w:ascii="Times New Roman" w:hAnsi="Times New Roman" w:cs="Times New Roman"/>
        </w:rPr>
      </w:pPr>
      <w:r w:rsidRPr="006D67DA">
        <w:rPr>
          <w:rStyle w:val="FootnoteReference"/>
          <w:rFonts w:ascii="Times New Roman" w:hAnsi="Times New Roman" w:cs="Times New Roman"/>
        </w:rPr>
        <w:footnoteRef/>
      </w:r>
      <w:r w:rsidRPr="006D67DA">
        <w:rPr>
          <w:rFonts w:ascii="Times New Roman" w:hAnsi="Times New Roman" w:cs="Times New Roman"/>
        </w:rPr>
        <w:t xml:space="preserve"> Section 17 Pension Reform Act 2014</w:t>
      </w:r>
    </w:p>
  </w:footnote>
  <w:footnote w:id="65">
    <w:p w:rsidR="00716884" w:rsidRPr="006D67DA" w:rsidRDefault="00716884" w:rsidP="00716884">
      <w:pPr>
        <w:pStyle w:val="FootnoteText"/>
        <w:spacing w:line="276" w:lineRule="auto"/>
        <w:jc w:val="both"/>
        <w:rPr>
          <w:rFonts w:ascii="Times New Roman" w:hAnsi="Times New Roman" w:cs="Times New Roman"/>
        </w:rPr>
      </w:pPr>
      <w:r w:rsidRPr="006D67DA">
        <w:rPr>
          <w:rStyle w:val="FootnoteReference"/>
          <w:rFonts w:ascii="Times New Roman" w:hAnsi="Times New Roman" w:cs="Times New Roman"/>
        </w:rPr>
        <w:footnoteRef/>
      </w:r>
      <w:r w:rsidRPr="006D67DA">
        <w:rPr>
          <w:rFonts w:ascii="Times New Roman" w:hAnsi="Times New Roman" w:cs="Times New Roman"/>
        </w:rPr>
        <w:t xml:space="preserve"> Section 18 Pension Reform Act 2014</w:t>
      </w:r>
    </w:p>
  </w:footnote>
  <w:footnote w:id="66">
    <w:p w:rsidR="00716884" w:rsidRPr="006D67DA" w:rsidRDefault="00716884" w:rsidP="00716884">
      <w:pPr>
        <w:pStyle w:val="FootnoteText"/>
        <w:spacing w:line="276" w:lineRule="auto"/>
        <w:jc w:val="both"/>
        <w:rPr>
          <w:rFonts w:ascii="Times New Roman" w:hAnsi="Times New Roman" w:cs="Times New Roman"/>
        </w:rPr>
      </w:pPr>
      <w:r w:rsidRPr="006D67DA">
        <w:rPr>
          <w:rStyle w:val="FootnoteReference"/>
          <w:rFonts w:ascii="Times New Roman" w:hAnsi="Times New Roman" w:cs="Times New Roman"/>
        </w:rPr>
        <w:footnoteRef/>
      </w:r>
      <w:r w:rsidRPr="006D67DA">
        <w:rPr>
          <w:rFonts w:ascii="Times New Roman" w:hAnsi="Times New Roman" w:cs="Times New Roman"/>
        </w:rPr>
        <w:t xml:space="preserve"> Section 24(a)  Pension Reform Act 2014</w:t>
      </w:r>
    </w:p>
  </w:footnote>
  <w:footnote w:id="67">
    <w:p w:rsidR="00716884" w:rsidRPr="006D67DA" w:rsidRDefault="00716884" w:rsidP="00716884">
      <w:pPr>
        <w:pStyle w:val="FootnoteText"/>
        <w:spacing w:line="276" w:lineRule="auto"/>
        <w:jc w:val="both"/>
        <w:rPr>
          <w:rFonts w:ascii="Times New Roman" w:hAnsi="Times New Roman" w:cs="Times New Roman"/>
        </w:rPr>
      </w:pPr>
      <w:r w:rsidRPr="006D67DA">
        <w:rPr>
          <w:rStyle w:val="FootnoteReference"/>
          <w:rFonts w:ascii="Times New Roman" w:hAnsi="Times New Roman" w:cs="Times New Roman"/>
        </w:rPr>
        <w:footnoteRef/>
      </w:r>
      <w:r w:rsidRPr="006D67DA">
        <w:rPr>
          <w:rFonts w:ascii="Times New Roman" w:hAnsi="Times New Roman" w:cs="Times New Roman"/>
        </w:rPr>
        <w:t xml:space="preserve"> Section 24(b)  Pension Reform Act 2014</w:t>
      </w:r>
    </w:p>
  </w:footnote>
  <w:footnote w:id="68">
    <w:p w:rsidR="00716884" w:rsidRPr="006D67DA" w:rsidRDefault="00716884" w:rsidP="00716884">
      <w:pPr>
        <w:pStyle w:val="FootnoteText"/>
        <w:spacing w:line="276" w:lineRule="auto"/>
        <w:jc w:val="both"/>
        <w:rPr>
          <w:rFonts w:ascii="Times New Roman" w:hAnsi="Times New Roman" w:cs="Times New Roman"/>
        </w:rPr>
      </w:pPr>
      <w:r w:rsidRPr="006D67DA">
        <w:rPr>
          <w:rStyle w:val="FootnoteReference"/>
          <w:rFonts w:ascii="Times New Roman" w:hAnsi="Times New Roman" w:cs="Times New Roman"/>
        </w:rPr>
        <w:footnoteRef/>
      </w:r>
      <w:r w:rsidRPr="006D67DA">
        <w:rPr>
          <w:rFonts w:ascii="Times New Roman" w:hAnsi="Times New Roman" w:cs="Times New Roman"/>
        </w:rPr>
        <w:t xml:space="preserve"> Section 24(c)  Pension Reform Act 2014</w:t>
      </w:r>
    </w:p>
  </w:footnote>
  <w:footnote w:id="69">
    <w:p w:rsidR="00716884" w:rsidRPr="006D67DA" w:rsidRDefault="00716884" w:rsidP="00716884">
      <w:pPr>
        <w:pStyle w:val="FootnoteText"/>
        <w:spacing w:line="276" w:lineRule="auto"/>
        <w:jc w:val="both"/>
        <w:rPr>
          <w:rFonts w:ascii="Times New Roman" w:hAnsi="Times New Roman" w:cs="Times New Roman"/>
        </w:rPr>
      </w:pPr>
      <w:r w:rsidRPr="006D67DA">
        <w:rPr>
          <w:rStyle w:val="FootnoteReference"/>
          <w:rFonts w:ascii="Times New Roman" w:hAnsi="Times New Roman" w:cs="Times New Roman"/>
        </w:rPr>
        <w:footnoteRef/>
      </w:r>
      <w:r w:rsidRPr="006D67DA">
        <w:rPr>
          <w:rFonts w:ascii="Times New Roman" w:hAnsi="Times New Roman" w:cs="Times New Roman"/>
        </w:rPr>
        <w:t xml:space="preserve"> Section 24(d)  Pension Reform Act 2014</w:t>
      </w:r>
    </w:p>
  </w:footnote>
  <w:footnote w:id="70">
    <w:p w:rsidR="00716884" w:rsidRPr="006D67DA" w:rsidRDefault="00716884" w:rsidP="00716884">
      <w:pPr>
        <w:pStyle w:val="FootnoteText"/>
        <w:spacing w:line="276" w:lineRule="auto"/>
        <w:jc w:val="both"/>
        <w:rPr>
          <w:rFonts w:ascii="Times New Roman" w:hAnsi="Times New Roman" w:cs="Times New Roman"/>
        </w:rPr>
      </w:pPr>
      <w:r w:rsidRPr="006D67DA">
        <w:rPr>
          <w:rStyle w:val="FootnoteReference"/>
          <w:rFonts w:ascii="Times New Roman" w:hAnsi="Times New Roman" w:cs="Times New Roman"/>
        </w:rPr>
        <w:footnoteRef/>
      </w:r>
      <w:r w:rsidRPr="006D67DA">
        <w:rPr>
          <w:rFonts w:ascii="Times New Roman" w:hAnsi="Times New Roman" w:cs="Times New Roman"/>
        </w:rPr>
        <w:t xml:space="preserve"> Section 24(e)  Pension Reform Act 2014</w:t>
      </w:r>
    </w:p>
  </w:footnote>
  <w:footnote w:id="71">
    <w:p w:rsidR="00716884" w:rsidRPr="006D67DA" w:rsidRDefault="00716884" w:rsidP="00716884">
      <w:pPr>
        <w:pStyle w:val="FootnoteText"/>
        <w:spacing w:line="276" w:lineRule="auto"/>
        <w:jc w:val="both"/>
        <w:rPr>
          <w:rFonts w:ascii="Times New Roman" w:hAnsi="Times New Roman" w:cs="Times New Roman"/>
        </w:rPr>
      </w:pPr>
      <w:r w:rsidRPr="006D67DA">
        <w:rPr>
          <w:rStyle w:val="FootnoteReference"/>
          <w:rFonts w:ascii="Times New Roman" w:hAnsi="Times New Roman" w:cs="Times New Roman"/>
        </w:rPr>
        <w:footnoteRef/>
      </w:r>
      <w:r w:rsidRPr="006D67DA">
        <w:rPr>
          <w:rFonts w:ascii="Times New Roman" w:hAnsi="Times New Roman" w:cs="Times New Roman"/>
        </w:rPr>
        <w:t xml:space="preserve"> Section 24(f)  Pension Reform Act 2014</w:t>
      </w:r>
    </w:p>
  </w:footnote>
  <w:footnote w:id="72">
    <w:p w:rsidR="00716884" w:rsidRPr="006D67DA" w:rsidRDefault="00716884" w:rsidP="00716884">
      <w:pPr>
        <w:pStyle w:val="FootnoteText"/>
        <w:spacing w:line="276" w:lineRule="auto"/>
        <w:jc w:val="both"/>
        <w:rPr>
          <w:rFonts w:ascii="Times New Roman" w:hAnsi="Times New Roman" w:cs="Times New Roman"/>
        </w:rPr>
      </w:pPr>
      <w:r w:rsidRPr="006D67DA">
        <w:rPr>
          <w:rStyle w:val="FootnoteReference"/>
          <w:rFonts w:ascii="Times New Roman" w:hAnsi="Times New Roman" w:cs="Times New Roman"/>
        </w:rPr>
        <w:footnoteRef/>
      </w:r>
      <w:r w:rsidRPr="006D67DA">
        <w:rPr>
          <w:rFonts w:ascii="Times New Roman" w:hAnsi="Times New Roman" w:cs="Times New Roman"/>
        </w:rPr>
        <w:t xml:space="preserve"> Section 24(g)  Pension Reform Act 2014</w:t>
      </w:r>
    </w:p>
  </w:footnote>
  <w:footnote w:id="73">
    <w:p w:rsidR="00716884" w:rsidRPr="006D67DA" w:rsidRDefault="00716884" w:rsidP="00716884">
      <w:pPr>
        <w:pStyle w:val="FootnoteText"/>
        <w:spacing w:line="276" w:lineRule="auto"/>
        <w:jc w:val="both"/>
        <w:rPr>
          <w:rFonts w:ascii="Times New Roman" w:hAnsi="Times New Roman" w:cs="Times New Roman"/>
        </w:rPr>
      </w:pPr>
      <w:r w:rsidRPr="006D67DA">
        <w:rPr>
          <w:rStyle w:val="FootnoteReference"/>
          <w:rFonts w:ascii="Times New Roman" w:hAnsi="Times New Roman" w:cs="Times New Roman"/>
        </w:rPr>
        <w:footnoteRef/>
      </w:r>
      <w:r w:rsidRPr="006D67DA">
        <w:rPr>
          <w:rFonts w:ascii="Times New Roman" w:hAnsi="Times New Roman" w:cs="Times New Roman"/>
        </w:rPr>
        <w:t xml:space="preserve"> Section 24(h)  Pension Reform Act 2014</w:t>
      </w:r>
    </w:p>
  </w:footnote>
  <w:footnote w:id="74">
    <w:p w:rsidR="00716884" w:rsidRPr="006D67DA" w:rsidRDefault="00716884" w:rsidP="00716884">
      <w:pPr>
        <w:pStyle w:val="FootnoteText"/>
        <w:spacing w:line="276" w:lineRule="auto"/>
        <w:jc w:val="both"/>
        <w:rPr>
          <w:rFonts w:ascii="Times New Roman" w:hAnsi="Times New Roman" w:cs="Times New Roman"/>
        </w:rPr>
      </w:pPr>
      <w:r w:rsidRPr="006D67DA">
        <w:rPr>
          <w:rStyle w:val="FootnoteReference"/>
          <w:rFonts w:ascii="Times New Roman" w:hAnsi="Times New Roman" w:cs="Times New Roman"/>
        </w:rPr>
        <w:footnoteRef/>
      </w:r>
      <w:r w:rsidRPr="006D67DA">
        <w:rPr>
          <w:rFonts w:ascii="Times New Roman" w:hAnsi="Times New Roman" w:cs="Times New Roman"/>
        </w:rPr>
        <w:t xml:space="preserve"> Section 24(i)  Pension Reform Act 2014</w:t>
      </w:r>
    </w:p>
  </w:footnote>
  <w:footnote w:id="75">
    <w:p w:rsidR="00716884" w:rsidRPr="006D67DA" w:rsidRDefault="00716884" w:rsidP="00716884">
      <w:pPr>
        <w:pStyle w:val="FootnoteText"/>
        <w:spacing w:line="276" w:lineRule="auto"/>
        <w:jc w:val="both"/>
        <w:rPr>
          <w:rFonts w:ascii="Times New Roman" w:hAnsi="Times New Roman" w:cs="Times New Roman"/>
        </w:rPr>
      </w:pPr>
      <w:r w:rsidRPr="006D67DA">
        <w:rPr>
          <w:rStyle w:val="FootnoteReference"/>
          <w:rFonts w:ascii="Times New Roman" w:hAnsi="Times New Roman" w:cs="Times New Roman"/>
        </w:rPr>
        <w:footnoteRef/>
      </w:r>
      <w:r w:rsidRPr="006D67DA">
        <w:rPr>
          <w:rFonts w:ascii="Times New Roman" w:hAnsi="Times New Roman" w:cs="Times New Roman"/>
        </w:rPr>
        <w:t xml:space="preserve"> Section 24(j)  Pension Reform Act 2014</w:t>
      </w:r>
    </w:p>
  </w:footnote>
  <w:footnote w:id="76">
    <w:p w:rsidR="00716884" w:rsidRPr="006D67DA" w:rsidRDefault="00716884" w:rsidP="00716884">
      <w:pPr>
        <w:pStyle w:val="FootnoteText"/>
        <w:spacing w:line="276" w:lineRule="auto"/>
        <w:jc w:val="both"/>
        <w:rPr>
          <w:rFonts w:ascii="Times New Roman" w:hAnsi="Times New Roman" w:cs="Times New Roman"/>
        </w:rPr>
      </w:pPr>
      <w:r w:rsidRPr="006D67DA">
        <w:rPr>
          <w:rStyle w:val="FootnoteReference"/>
          <w:rFonts w:ascii="Times New Roman" w:hAnsi="Times New Roman" w:cs="Times New Roman"/>
        </w:rPr>
        <w:footnoteRef/>
      </w:r>
      <w:r w:rsidRPr="006D67DA">
        <w:rPr>
          <w:rFonts w:ascii="Times New Roman" w:hAnsi="Times New Roman" w:cs="Times New Roman"/>
        </w:rPr>
        <w:t xml:space="preserve"> Section 24(k)  Pension Reform Act 2014</w:t>
      </w:r>
    </w:p>
  </w:footnote>
  <w:footnote w:id="77">
    <w:p w:rsidR="00716884" w:rsidRPr="006D67DA" w:rsidRDefault="00716884" w:rsidP="00716884">
      <w:pPr>
        <w:pStyle w:val="FootnoteText"/>
        <w:spacing w:line="276" w:lineRule="auto"/>
        <w:jc w:val="both"/>
        <w:rPr>
          <w:rFonts w:ascii="Times New Roman" w:hAnsi="Times New Roman" w:cs="Times New Roman"/>
        </w:rPr>
      </w:pPr>
      <w:r w:rsidRPr="006D67DA">
        <w:rPr>
          <w:rStyle w:val="FootnoteReference"/>
          <w:rFonts w:ascii="Times New Roman" w:hAnsi="Times New Roman" w:cs="Times New Roman"/>
        </w:rPr>
        <w:footnoteRef/>
      </w:r>
      <w:r w:rsidRPr="006D67DA">
        <w:rPr>
          <w:rFonts w:ascii="Times New Roman" w:hAnsi="Times New Roman" w:cs="Times New Roman"/>
        </w:rPr>
        <w:t xml:space="preserve"> Section 24(l)  Pension Reform Act 2014</w:t>
      </w:r>
    </w:p>
  </w:footnote>
  <w:footnote w:id="78">
    <w:p w:rsidR="00716884" w:rsidRPr="006D67DA" w:rsidRDefault="00716884" w:rsidP="00716884">
      <w:pPr>
        <w:pStyle w:val="FootnoteText"/>
        <w:spacing w:line="276" w:lineRule="auto"/>
        <w:jc w:val="both"/>
        <w:rPr>
          <w:rFonts w:ascii="Times New Roman" w:hAnsi="Times New Roman" w:cs="Times New Roman"/>
        </w:rPr>
      </w:pPr>
      <w:r w:rsidRPr="006D67DA">
        <w:rPr>
          <w:rStyle w:val="FootnoteReference"/>
          <w:rFonts w:ascii="Times New Roman" w:hAnsi="Times New Roman" w:cs="Times New Roman"/>
        </w:rPr>
        <w:footnoteRef/>
      </w:r>
      <w:r w:rsidRPr="006D67DA">
        <w:rPr>
          <w:rFonts w:ascii="Times New Roman" w:hAnsi="Times New Roman" w:cs="Times New Roman"/>
        </w:rPr>
        <w:t xml:space="preserve"> Section 24(m)  Pension Reform Act 2014</w:t>
      </w:r>
    </w:p>
  </w:footnote>
  <w:footnote w:id="79">
    <w:p w:rsidR="00716884" w:rsidRPr="006D67DA" w:rsidRDefault="00716884" w:rsidP="00716884">
      <w:pPr>
        <w:pStyle w:val="FootnoteText"/>
        <w:spacing w:line="276" w:lineRule="auto"/>
        <w:jc w:val="both"/>
        <w:rPr>
          <w:rFonts w:ascii="Times New Roman" w:hAnsi="Times New Roman" w:cs="Times New Roman"/>
        </w:rPr>
      </w:pPr>
      <w:r w:rsidRPr="006D67DA">
        <w:rPr>
          <w:rStyle w:val="FootnoteReference"/>
          <w:rFonts w:ascii="Times New Roman" w:hAnsi="Times New Roman" w:cs="Times New Roman"/>
        </w:rPr>
        <w:footnoteRef/>
      </w:r>
      <w:r w:rsidRPr="006D67DA">
        <w:rPr>
          <w:rFonts w:ascii="Times New Roman" w:hAnsi="Times New Roman" w:cs="Times New Roman"/>
        </w:rPr>
        <w:t xml:space="preserve"> Section 24(n)  Pension Reform Act 2014</w:t>
      </w:r>
    </w:p>
  </w:footnote>
  <w:footnote w:id="80">
    <w:p w:rsidR="00716884" w:rsidRPr="006D67DA" w:rsidRDefault="00716884" w:rsidP="00716884">
      <w:pPr>
        <w:pStyle w:val="FootnoteText"/>
        <w:spacing w:line="276" w:lineRule="auto"/>
        <w:jc w:val="both"/>
        <w:rPr>
          <w:rFonts w:ascii="Times New Roman" w:hAnsi="Times New Roman" w:cs="Times New Roman"/>
        </w:rPr>
      </w:pPr>
      <w:r w:rsidRPr="006D67DA">
        <w:rPr>
          <w:rStyle w:val="FootnoteReference"/>
          <w:rFonts w:ascii="Times New Roman" w:hAnsi="Times New Roman" w:cs="Times New Roman"/>
        </w:rPr>
        <w:footnoteRef/>
      </w:r>
      <w:r w:rsidRPr="006D67DA">
        <w:rPr>
          <w:rFonts w:ascii="Times New Roman" w:hAnsi="Times New Roman" w:cs="Times New Roman"/>
        </w:rPr>
        <w:t xml:space="preserve"> Section 24(o)  Pension Reform Act 2014</w:t>
      </w:r>
    </w:p>
  </w:footnote>
  <w:footnote w:id="81">
    <w:p w:rsidR="00716884" w:rsidRPr="006D67DA" w:rsidRDefault="00716884" w:rsidP="00716884">
      <w:pPr>
        <w:pStyle w:val="FootnoteText"/>
        <w:spacing w:line="276" w:lineRule="auto"/>
        <w:jc w:val="both"/>
        <w:rPr>
          <w:rFonts w:ascii="Times New Roman" w:hAnsi="Times New Roman" w:cs="Times New Roman"/>
        </w:rPr>
      </w:pPr>
      <w:r w:rsidRPr="006D67DA">
        <w:rPr>
          <w:rStyle w:val="FootnoteReference"/>
          <w:rFonts w:ascii="Times New Roman" w:hAnsi="Times New Roman" w:cs="Times New Roman"/>
        </w:rPr>
        <w:footnoteRef/>
      </w:r>
      <w:r w:rsidRPr="006D67DA">
        <w:rPr>
          <w:rFonts w:ascii="Times New Roman" w:hAnsi="Times New Roman" w:cs="Times New Roman"/>
        </w:rPr>
        <w:t xml:space="preserve"> Section 26(1)  Pension Reform Act 2014</w:t>
      </w:r>
    </w:p>
  </w:footnote>
  <w:footnote w:id="82">
    <w:p w:rsidR="00716884" w:rsidRPr="006D67DA" w:rsidRDefault="00716884" w:rsidP="00716884">
      <w:pPr>
        <w:pStyle w:val="FootnoteText"/>
        <w:spacing w:line="276" w:lineRule="auto"/>
        <w:jc w:val="both"/>
        <w:rPr>
          <w:rFonts w:ascii="Times New Roman" w:hAnsi="Times New Roman" w:cs="Times New Roman"/>
        </w:rPr>
      </w:pPr>
      <w:r w:rsidRPr="006D67DA">
        <w:rPr>
          <w:rStyle w:val="FootnoteReference"/>
          <w:rFonts w:ascii="Times New Roman" w:hAnsi="Times New Roman" w:cs="Times New Roman"/>
        </w:rPr>
        <w:footnoteRef/>
      </w:r>
      <w:r w:rsidRPr="006D67DA">
        <w:rPr>
          <w:rFonts w:ascii="Times New Roman" w:hAnsi="Times New Roman" w:cs="Times New Roman"/>
        </w:rPr>
        <w:t xml:space="preserve"> Section 27(1)  Pension Reform Act 2014</w:t>
      </w:r>
    </w:p>
  </w:footnote>
  <w:footnote w:id="83">
    <w:p w:rsidR="00716884" w:rsidRPr="006D67DA" w:rsidRDefault="00716884" w:rsidP="00716884">
      <w:pPr>
        <w:pStyle w:val="FootnoteText"/>
        <w:spacing w:line="276" w:lineRule="auto"/>
        <w:jc w:val="both"/>
        <w:rPr>
          <w:rFonts w:ascii="Times New Roman" w:hAnsi="Times New Roman" w:cs="Times New Roman"/>
        </w:rPr>
      </w:pPr>
      <w:r w:rsidRPr="006D67DA">
        <w:rPr>
          <w:rStyle w:val="FootnoteReference"/>
          <w:rFonts w:ascii="Times New Roman" w:hAnsi="Times New Roman" w:cs="Times New Roman"/>
        </w:rPr>
        <w:footnoteRef/>
      </w:r>
      <w:r w:rsidRPr="006D67DA">
        <w:rPr>
          <w:rFonts w:ascii="Times New Roman" w:hAnsi="Times New Roman" w:cs="Times New Roman"/>
        </w:rPr>
        <w:t xml:space="preserve"> Sections 17- 31  Pension Reform Act 2014</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D25B0C"/>
    <w:multiLevelType w:val="hybridMultilevel"/>
    <w:tmpl w:val="0E4A9E16"/>
    <w:lvl w:ilvl="0" w:tplc="42D8AECA">
      <w:start w:val="1"/>
      <w:numFmt w:val="lowerRoman"/>
      <w:lvlText w:val="%1."/>
      <w:lvlJc w:val="left"/>
      <w:pPr>
        <w:ind w:left="1440" w:hanging="720"/>
      </w:pPr>
      <w:rPr>
        <w:rFonts w:hint="default"/>
        <w:i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21F743D9"/>
    <w:multiLevelType w:val="hybridMultilevel"/>
    <w:tmpl w:val="7F6CF1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5C0024C"/>
    <w:multiLevelType w:val="hybridMultilevel"/>
    <w:tmpl w:val="AA2E3AE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413F52E1"/>
    <w:multiLevelType w:val="hybridMultilevel"/>
    <w:tmpl w:val="ADF03D10"/>
    <w:lvl w:ilvl="0" w:tplc="7478855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9823C98"/>
    <w:multiLevelType w:val="hybridMultilevel"/>
    <w:tmpl w:val="D8B42A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5E333AD"/>
    <w:multiLevelType w:val="hybridMultilevel"/>
    <w:tmpl w:val="C27EF946"/>
    <w:lvl w:ilvl="0" w:tplc="A64C3B0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4"/>
  </w:num>
  <w:num w:numId="2">
    <w:abstractNumId w:val="5"/>
  </w:num>
  <w:num w:numId="3">
    <w:abstractNumId w:val="1"/>
  </w:num>
  <w:num w:numId="4">
    <w:abstractNumId w:val="3"/>
  </w:num>
  <w:num w:numId="5">
    <w:abstractNumId w:val="0"/>
  </w:num>
  <w:num w:numId="6">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716884"/>
    <w:rsid w:val="00072E44"/>
    <w:rsid w:val="000A06A5"/>
    <w:rsid w:val="000B2865"/>
    <w:rsid w:val="000C7899"/>
    <w:rsid w:val="001019C0"/>
    <w:rsid w:val="00114A49"/>
    <w:rsid w:val="001461B8"/>
    <w:rsid w:val="00174CF4"/>
    <w:rsid w:val="002577FC"/>
    <w:rsid w:val="00262959"/>
    <w:rsid w:val="002F64D6"/>
    <w:rsid w:val="0033071F"/>
    <w:rsid w:val="00332974"/>
    <w:rsid w:val="00381799"/>
    <w:rsid w:val="00387F13"/>
    <w:rsid w:val="00395405"/>
    <w:rsid w:val="003A4341"/>
    <w:rsid w:val="003E06C8"/>
    <w:rsid w:val="0045471E"/>
    <w:rsid w:val="00457B90"/>
    <w:rsid w:val="00474383"/>
    <w:rsid w:val="005074F3"/>
    <w:rsid w:val="0054246B"/>
    <w:rsid w:val="005E7A95"/>
    <w:rsid w:val="00662573"/>
    <w:rsid w:val="006B6DCF"/>
    <w:rsid w:val="006E3D8B"/>
    <w:rsid w:val="00712BC1"/>
    <w:rsid w:val="00716884"/>
    <w:rsid w:val="007B774D"/>
    <w:rsid w:val="007D0337"/>
    <w:rsid w:val="007D5ECF"/>
    <w:rsid w:val="00833A19"/>
    <w:rsid w:val="008377D2"/>
    <w:rsid w:val="008B5C59"/>
    <w:rsid w:val="00922F56"/>
    <w:rsid w:val="009D698E"/>
    <w:rsid w:val="00AA58BF"/>
    <w:rsid w:val="00AB75D1"/>
    <w:rsid w:val="00AD5321"/>
    <w:rsid w:val="00B2262C"/>
    <w:rsid w:val="00B41632"/>
    <w:rsid w:val="00B63BFF"/>
    <w:rsid w:val="00BA7BD4"/>
    <w:rsid w:val="00BC1C91"/>
    <w:rsid w:val="00C15801"/>
    <w:rsid w:val="00C21D20"/>
    <w:rsid w:val="00C73E95"/>
    <w:rsid w:val="00CC6946"/>
    <w:rsid w:val="00D64FC3"/>
    <w:rsid w:val="00E14E8A"/>
    <w:rsid w:val="00E6044E"/>
    <w:rsid w:val="00EA6A65"/>
    <w:rsid w:val="00EB5055"/>
    <w:rsid w:val="00EB61B7"/>
    <w:rsid w:val="00EC5BCE"/>
    <w:rsid w:val="00F16ADF"/>
    <w:rsid w:val="00F407C4"/>
    <w:rsid w:val="00FA085A"/>
    <w:rsid w:val="00FA7A35"/>
    <w:rsid w:val="00FD31DC"/>
    <w:rsid w:val="00FE05B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16884"/>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16884"/>
    <w:pPr>
      <w:spacing w:after="160" w:line="256" w:lineRule="auto"/>
      <w:ind w:left="720"/>
      <w:contextualSpacing/>
    </w:pPr>
    <w:rPr>
      <w:rFonts w:eastAsiaTheme="minorHAnsi"/>
      <w:lang w:val="en-GB"/>
    </w:rPr>
  </w:style>
  <w:style w:type="paragraph" w:styleId="FootnoteText">
    <w:name w:val="footnote text"/>
    <w:basedOn w:val="Normal"/>
    <w:link w:val="FootnoteTextChar"/>
    <w:unhideWhenUsed/>
    <w:rsid w:val="00716884"/>
    <w:pPr>
      <w:spacing w:after="0" w:line="240" w:lineRule="auto"/>
    </w:pPr>
    <w:rPr>
      <w:rFonts w:eastAsiaTheme="minorHAnsi"/>
      <w:sz w:val="20"/>
      <w:szCs w:val="20"/>
      <w:lang w:val="en-GB"/>
    </w:rPr>
  </w:style>
  <w:style w:type="character" w:customStyle="1" w:styleId="FootnoteTextChar">
    <w:name w:val="Footnote Text Char"/>
    <w:basedOn w:val="DefaultParagraphFont"/>
    <w:link w:val="FootnoteText"/>
    <w:rsid w:val="00716884"/>
    <w:rPr>
      <w:sz w:val="20"/>
      <w:szCs w:val="20"/>
      <w:lang w:val="en-GB"/>
    </w:rPr>
  </w:style>
  <w:style w:type="character" w:styleId="FootnoteReference">
    <w:name w:val="footnote reference"/>
    <w:basedOn w:val="DefaultParagraphFont"/>
    <w:uiPriority w:val="99"/>
    <w:unhideWhenUsed/>
    <w:rsid w:val="00716884"/>
    <w:rPr>
      <w:vertAlign w:val="superscript"/>
    </w:rPr>
  </w:style>
  <w:style w:type="character" w:styleId="Hyperlink">
    <w:name w:val="Hyperlink"/>
    <w:rsid w:val="00716884"/>
    <w:rPr>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_rels/footnotes.xml.rels><?xml version="1.0" encoding="UTF-8" standalone="yes"?>
<Relationships xmlns="http://schemas.openxmlformats.org/package/2006/relationships"><Relationship Id="rId3" Type="http://schemas.openxmlformats.org/officeDocument/2006/relationships/hyperlink" Target="https://www.jstor.org/stable/10.2979/indjglolegstu.19.2.533" TargetMode="External"/><Relationship Id="rId2" Type="http://schemas.openxmlformats.org/officeDocument/2006/relationships/hyperlink" Target="http://papers.ssrn.com/sol3/papers.cfm?abstract_id=i8o6305" TargetMode="External"/><Relationship Id="rId1" Type="http://schemas.openxmlformats.org/officeDocument/2006/relationships/hyperlink" Target="mailto:ahmed.muhammed-mikaaeel@kwasu.edu.ng" TargetMode="External"/><Relationship Id="rId6" Type="http://schemas.openxmlformats.org/officeDocument/2006/relationships/hyperlink" Target="https://www.jstor.org/stable/43668167/" TargetMode="External"/><Relationship Id="rId5" Type="http://schemas.openxmlformats.org/officeDocument/2006/relationships/hyperlink" Target="URL:https://www.jstor.org/stable/27650597/" TargetMode="External"/><Relationship Id="rId4" Type="http://schemas.openxmlformats.org/officeDocument/2006/relationships/hyperlink" Target="https://www.jstor.org/stable/2481102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4294966776</TotalTime>
  <Pages>19</Pages>
  <Words>5541</Words>
  <Characters>31585</Characters>
  <Application>Microsoft Office Word</Application>
  <DocSecurity>0</DocSecurity>
  <Lines>263</Lines>
  <Paragraphs>74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37052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DELL</cp:lastModifiedBy>
  <cp:revision>48</cp:revision>
  <dcterms:created xsi:type="dcterms:W3CDTF">2022-11-06T14:24:00Z</dcterms:created>
  <dcterms:modified xsi:type="dcterms:W3CDTF">2023-08-12T06:21:00Z</dcterms:modified>
</cp:coreProperties>
</file>