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294C26" w:rsidRPr="0013150B" w:rsidRDefault="00294C26" w:rsidP="00592012">
      <w:pPr>
        <w:pStyle w:val="Heading1"/>
      </w:pPr>
    </w:p>
    <w:p w:rsidR="00666944" w:rsidRPr="008272BB" w:rsidRDefault="00666944" w:rsidP="00A24F4D">
      <w:pPr>
        <w:spacing w:line="240" w:lineRule="auto"/>
        <w:jc w:val="center"/>
        <w:rPr>
          <w:rFonts w:ascii="Times New Roman" w:hAnsi="Times New Roman" w:cs="Times New Roman"/>
          <w:b/>
          <w:sz w:val="24"/>
          <w:szCs w:val="24"/>
        </w:rPr>
      </w:pPr>
      <w:r w:rsidRPr="008272BB">
        <w:rPr>
          <w:rFonts w:ascii="Times New Roman" w:hAnsi="Times New Roman" w:cs="Times New Roman"/>
          <w:b/>
          <w:sz w:val="24"/>
          <w:szCs w:val="24"/>
        </w:rPr>
        <w:t xml:space="preserve">MISAPPLICATION OF </w:t>
      </w:r>
      <w:r w:rsidR="00BD5FA9" w:rsidRPr="008272BB">
        <w:rPr>
          <w:rFonts w:ascii="Times New Roman" w:hAnsi="Times New Roman" w:cs="Times New Roman"/>
          <w:b/>
          <w:sz w:val="24"/>
          <w:szCs w:val="24"/>
        </w:rPr>
        <w:t xml:space="preserve">THE </w:t>
      </w:r>
      <w:r w:rsidRPr="008272BB">
        <w:rPr>
          <w:rFonts w:ascii="Times New Roman" w:hAnsi="Times New Roman" w:cs="Times New Roman"/>
          <w:b/>
          <w:sz w:val="24"/>
          <w:szCs w:val="24"/>
        </w:rPr>
        <w:t>PRINCIPLE OF</w:t>
      </w:r>
      <w:r w:rsidR="00D45BCF" w:rsidRPr="008272BB">
        <w:rPr>
          <w:rFonts w:ascii="Times New Roman" w:hAnsi="Times New Roman" w:cs="Times New Roman"/>
          <w:b/>
          <w:sz w:val="24"/>
          <w:szCs w:val="24"/>
        </w:rPr>
        <w:t xml:space="preserve"> </w:t>
      </w:r>
      <w:r w:rsidRPr="008272BB">
        <w:rPr>
          <w:rFonts w:ascii="Times New Roman" w:hAnsi="Times New Roman" w:cs="Times New Roman"/>
          <w:b/>
          <w:i/>
          <w:sz w:val="24"/>
          <w:szCs w:val="24"/>
        </w:rPr>
        <w:t>MURUR AZ-ZAMAN</w:t>
      </w:r>
      <w:r w:rsidRPr="008272BB">
        <w:rPr>
          <w:rFonts w:ascii="Times New Roman" w:hAnsi="Times New Roman" w:cs="Times New Roman"/>
          <w:b/>
          <w:sz w:val="24"/>
          <w:szCs w:val="24"/>
        </w:rPr>
        <w:t xml:space="preserve"> TO </w:t>
      </w:r>
      <w:r w:rsidRPr="008272BB">
        <w:rPr>
          <w:rFonts w:ascii="Times New Roman" w:hAnsi="Times New Roman" w:cs="Times New Roman"/>
          <w:b/>
          <w:i/>
          <w:sz w:val="24"/>
          <w:szCs w:val="24"/>
        </w:rPr>
        <w:t>AL-FARAA’ID</w:t>
      </w:r>
      <w:r w:rsidRPr="008272BB">
        <w:rPr>
          <w:rFonts w:ascii="Times New Roman" w:hAnsi="Times New Roman" w:cs="Times New Roman"/>
          <w:b/>
          <w:sz w:val="24"/>
          <w:szCs w:val="24"/>
        </w:rPr>
        <w:t xml:space="preserve"> CASES IN NIGERIA: ASCERTAINING THE POSITION OF ISLAMIC COURTS</w:t>
      </w:r>
    </w:p>
    <w:p w:rsidR="008272BB" w:rsidRDefault="008272BB" w:rsidP="00666944">
      <w:pPr>
        <w:spacing w:after="0" w:line="240" w:lineRule="auto"/>
        <w:jc w:val="center"/>
        <w:rPr>
          <w:rFonts w:ascii="Times New Roman" w:hAnsi="Times New Roman" w:cs="Times New Roman"/>
          <w:b/>
          <w:sz w:val="24"/>
          <w:szCs w:val="24"/>
        </w:rPr>
      </w:pPr>
    </w:p>
    <w:p w:rsidR="00666944" w:rsidRPr="008272BB" w:rsidRDefault="00666944" w:rsidP="008272BB">
      <w:pPr>
        <w:spacing w:after="0" w:line="240" w:lineRule="auto"/>
        <w:jc w:val="center"/>
        <w:rPr>
          <w:rFonts w:ascii="Times New Roman" w:hAnsi="Times New Roman" w:cs="Times New Roman"/>
          <w:i/>
          <w:sz w:val="24"/>
          <w:szCs w:val="24"/>
        </w:rPr>
      </w:pPr>
      <w:r w:rsidRPr="008272BB">
        <w:rPr>
          <w:rFonts w:ascii="Times New Roman" w:hAnsi="Times New Roman" w:cs="Times New Roman"/>
          <w:i/>
          <w:sz w:val="24"/>
          <w:szCs w:val="24"/>
        </w:rPr>
        <w:t>Ahmed A. Muhammed-Mikaaeel</w:t>
      </w:r>
      <w:r w:rsidR="008272BB" w:rsidRPr="008272BB">
        <w:rPr>
          <w:rFonts w:ascii="Times New Roman" w:hAnsi="Times New Roman" w:cs="Times New Roman"/>
          <w:i/>
          <w:sz w:val="24"/>
          <w:szCs w:val="24"/>
        </w:rPr>
        <w:t>*</w:t>
      </w:r>
    </w:p>
    <w:p w:rsidR="00666944" w:rsidRPr="00E32471" w:rsidRDefault="008272BB" w:rsidP="00E32471">
      <w:pPr>
        <w:spacing w:after="0" w:line="240" w:lineRule="auto"/>
        <w:jc w:val="center"/>
        <w:rPr>
          <w:rFonts w:ascii="Times New Roman" w:hAnsi="Times New Roman" w:cs="Times New Roman"/>
          <w:i/>
          <w:sz w:val="20"/>
          <w:szCs w:val="20"/>
        </w:rPr>
      </w:pPr>
      <w:r w:rsidRPr="00E32471">
        <w:rPr>
          <w:rFonts w:ascii="Times New Roman" w:hAnsi="Times New Roman" w:cs="Times New Roman"/>
          <w:i/>
          <w:sz w:val="20"/>
          <w:szCs w:val="20"/>
        </w:rPr>
        <w:t>LL.M; LL.B</w:t>
      </w:r>
      <w:r w:rsidR="00EB23A8" w:rsidRPr="00E32471">
        <w:rPr>
          <w:rFonts w:ascii="Times New Roman" w:hAnsi="Times New Roman" w:cs="Times New Roman"/>
          <w:i/>
          <w:sz w:val="20"/>
          <w:szCs w:val="20"/>
        </w:rPr>
        <w:t xml:space="preserve"> (Hons)</w:t>
      </w:r>
      <w:r w:rsidRPr="00E32471">
        <w:rPr>
          <w:rFonts w:ascii="Times New Roman" w:hAnsi="Times New Roman" w:cs="Times New Roman"/>
          <w:i/>
          <w:sz w:val="20"/>
          <w:szCs w:val="20"/>
        </w:rPr>
        <w:t>; B.L; PDE; MNIM;</w:t>
      </w:r>
      <w:r w:rsidR="00E32471" w:rsidRPr="00E32471">
        <w:rPr>
          <w:rFonts w:ascii="Times New Roman" w:hAnsi="Times New Roman" w:cs="Times New Roman"/>
          <w:i/>
          <w:sz w:val="20"/>
          <w:szCs w:val="20"/>
        </w:rPr>
        <w:t xml:space="preserve"> </w:t>
      </w:r>
      <w:r w:rsidRPr="00E32471">
        <w:rPr>
          <w:rFonts w:ascii="Times New Roman" w:hAnsi="Times New Roman" w:cs="Times New Roman"/>
          <w:i/>
          <w:sz w:val="20"/>
          <w:szCs w:val="20"/>
        </w:rPr>
        <w:t>AFIICEP; Ph.D &lt;In View&gt;</w:t>
      </w:r>
      <w:r w:rsidR="00E32471" w:rsidRPr="00E32471">
        <w:rPr>
          <w:rFonts w:ascii="Times New Roman" w:hAnsi="Times New Roman" w:cs="Times New Roman"/>
          <w:i/>
          <w:sz w:val="20"/>
          <w:szCs w:val="20"/>
        </w:rPr>
        <w:t>;</w:t>
      </w:r>
      <w:r w:rsidRPr="00E32471">
        <w:rPr>
          <w:rFonts w:ascii="Times New Roman" w:hAnsi="Times New Roman" w:cs="Times New Roman"/>
          <w:i/>
          <w:sz w:val="20"/>
          <w:szCs w:val="20"/>
        </w:rPr>
        <w:t xml:space="preserve"> </w:t>
      </w:r>
      <w:r w:rsidR="00666944" w:rsidRPr="00E32471">
        <w:rPr>
          <w:rFonts w:ascii="Times New Roman" w:hAnsi="Times New Roman" w:cs="Times New Roman"/>
          <w:i/>
          <w:sz w:val="20"/>
          <w:szCs w:val="20"/>
        </w:rPr>
        <w:t xml:space="preserve">Lecturer, Islamic Law Department, </w:t>
      </w:r>
      <w:r w:rsidR="00D25D6B">
        <w:rPr>
          <w:rFonts w:ascii="Times New Roman" w:hAnsi="Times New Roman" w:cs="Times New Roman"/>
          <w:i/>
          <w:sz w:val="20"/>
          <w:szCs w:val="20"/>
        </w:rPr>
        <w:t xml:space="preserve">Faculty of Law, </w:t>
      </w:r>
      <w:r w:rsidR="00666944" w:rsidRPr="00E32471">
        <w:rPr>
          <w:rFonts w:ascii="Times New Roman" w:hAnsi="Times New Roman" w:cs="Times New Roman"/>
          <w:i/>
          <w:sz w:val="20"/>
          <w:szCs w:val="20"/>
        </w:rPr>
        <w:t>Kwara S</w:t>
      </w:r>
      <w:r w:rsidR="00E32471" w:rsidRPr="00E32471">
        <w:rPr>
          <w:rFonts w:ascii="Times New Roman" w:hAnsi="Times New Roman" w:cs="Times New Roman"/>
          <w:i/>
          <w:sz w:val="20"/>
          <w:szCs w:val="20"/>
        </w:rPr>
        <w:t xml:space="preserve">tate University, Malete-Nigeria. Email: </w:t>
      </w:r>
      <w:hyperlink r:id="rId8" w:history="1">
        <w:r w:rsidR="00E32471" w:rsidRPr="00E32471">
          <w:rPr>
            <w:rStyle w:val="Hyperlink"/>
            <w:rFonts w:ascii="Times New Roman" w:hAnsi="Times New Roman" w:cs="Times New Roman"/>
            <w:i/>
            <w:sz w:val="20"/>
            <w:szCs w:val="20"/>
          </w:rPr>
          <w:t>ahmed.muhammed-mikaaeel@kwasu.edu.ng</w:t>
        </w:r>
      </w:hyperlink>
      <w:r w:rsidR="00E32471" w:rsidRPr="00E32471">
        <w:rPr>
          <w:rFonts w:ascii="Times New Roman" w:hAnsi="Times New Roman" w:cs="Times New Roman"/>
          <w:i/>
          <w:sz w:val="20"/>
          <w:szCs w:val="20"/>
        </w:rPr>
        <w:t xml:space="preserve"> </w:t>
      </w:r>
    </w:p>
    <w:p w:rsidR="008272BB" w:rsidRPr="008272BB" w:rsidRDefault="008272BB" w:rsidP="008272BB">
      <w:pPr>
        <w:spacing w:after="0" w:line="360" w:lineRule="auto"/>
        <w:jc w:val="center"/>
        <w:rPr>
          <w:rFonts w:ascii="Times New Roman" w:hAnsi="Times New Roman" w:cs="Times New Roman"/>
          <w:i/>
          <w:sz w:val="24"/>
          <w:szCs w:val="24"/>
        </w:rPr>
      </w:pPr>
    </w:p>
    <w:p w:rsidR="00666944" w:rsidRPr="008272BB" w:rsidRDefault="00666944" w:rsidP="008272BB">
      <w:pPr>
        <w:spacing w:after="0" w:line="240" w:lineRule="auto"/>
        <w:jc w:val="center"/>
        <w:rPr>
          <w:rFonts w:ascii="Times New Roman" w:hAnsi="Times New Roman" w:cs="Times New Roman"/>
          <w:i/>
          <w:sz w:val="24"/>
          <w:szCs w:val="24"/>
        </w:rPr>
      </w:pPr>
      <w:r w:rsidRPr="008272BB">
        <w:rPr>
          <w:rFonts w:ascii="Times New Roman" w:hAnsi="Times New Roman" w:cs="Times New Roman"/>
          <w:i/>
          <w:sz w:val="24"/>
          <w:szCs w:val="24"/>
        </w:rPr>
        <w:t>Ibrahim T. Balogun</w:t>
      </w:r>
      <w:r w:rsidR="008272BB" w:rsidRPr="008272BB">
        <w:rPr>
          <w:rFonts w:ascii="Times New Roman" w:hAnsi="Times New Roman" w:cs="Times New Roman"/>
          <w:i/>
          <w:sz w:val="24"/>
          <w:szCs w:val="24"/>
        </w:rPr>
        <w:t>**</w:t>
      </w:r>
    </w:p>
    <w:p w:rsidR="00666944" w:rsidRPr="00E32471" w:rsidRDefault="00E32471" w:rsidP="008272BB">
      <w:pPr>
        <w:spacing w:after="0" w:line="240" w:lineRule="auto"/>
        <w:jc w:val="center"/>
        <w:rPr>
          <w:rFonts w:ascii="Times New Roman" w:hAnsi="Times New Roman" w:cs="Times New Roman"/>
          <w:b/>
          <w:i/>
          <w:sz w:val="20"/>
          <w:szCs w:val="20"/>
        </w:rPr>
      </w:pPr>
      <w:r w:rsidRPr="00E32471">
        <w:rPr>
          <w:rFonts w:ascii="Times New Roman" w:hAnsi="Times New Roman" w:cs="Times New Roman"/>
          <w:i/>
          <w:sz w:val="20"/>
          <w:szCs w:val="20"/>
        </w:rPr>
        <w:t xml:space="preserve">LL.B (Hons); B.L; </w:t>
      </w:r>
      <w:r w:rsidR="00666944" w:rsidRPr="00E32471">
        <w:rPr>
          <w:rFonts w:ascii="Times New Roman" w:hAnsi="Times New Roman" w:cs="Times New Roman"/>
          <w:i/>
          <w:sz w:val="20"/>
          <w:szCs w:val="20"/>
        </w:rPr>
        <w:t xml:space="preserve">LL.M </w:t>
      </w:r>
      <w:r w:rsidRPr="00E32471">
        <w:rPr>
          <w:rFonts w:ascii="Times New Roman" w:hAnsi="Times New Roman" w:cs="Times New Roman"/>
          <w:i/>
          <w:sz w:val="20"/>
          <w:szCs w:val="20"/>
        </w:rPr>
        <w:t>&lt;In View&gt;</w:t>
      </w:r>
      <w:r w:rsidR="00532F7F">
        <w:rPr>
          <w:rFonts w:ascii="Times New Roman" w:hAnsi="Times New Roman" w:cs="Times New Roman"/>
          <w:i/>
          <w:sz w:val="20"/>
          <w:szCs w:val="20"/>
        </w:rPr>
        <w:t>;</w:t>
      </w:r>
      <w:r w:rsidR="00D25D6B">
        <w:rPr>
          <w:rFonts w:ascii="Times New Roman" w:hAnsi="Times New Roman" w:cs="Times New Roman"/>
          <w:i/>
          <w:sz w:val="20"/>
          <w:szCs w:val="20"/>
        </w:rPr>
        <w:t xml:space="preserve"> Postgraduate Student,</w:t>
      </w:r>
      <w:r w:rsidR="00532F7F">
        <w:rPr>
          <w:rFonts w:ascii="Times New Roman" w:hAnsi="Times New Roman" w:cs="Times New Roman"/>
          <w:i/>
          <w:sz w:val="20"/>
          <w:szCs w:val="20"/>
        </w:rPr>
        <w:t xml:space="preserve"> </w:t>
      </w:r>
      <w:r w:rsidR="00D25D6B">
        <w:rPr>
          <w:rFonts w:ascii="Times New Roman" w:hAnsi="Times New Roman" w:cs="Times New Roman"/>
          <w:i/>
          <w:sz w:val="20"/>
          <w:szCs w:val="20"/>
        </w:rPr>
        <w:t>Islamic Law Department,</w:t>
      </w:r>
      <w:r w:rsidR="00532F7F">
        <w:rPr>
          <w:rFonts w:ascii="Times New Roman" w:hAnsi="Times New Roman" w:cs="Times New Roman"/>
          <w:i/>
          <w:sz w:val="20"/>
          <w:szCs w:val="20"/>
        </w:rPr>
        <w:t xml:space="preserve"> Faculty </w:t>
      </w:r>
      <w:r w:rsidR="00D25D6B">
        <w:rPr>
          <w:rFonts w:ascii="Times New Roman" w:hAnsi="Times New Roman" w:cs="Times New Roman"/>
          <w:i/>
          <w:sz w:val="20"/>
          <w:szCs w:val="20"/>
        </w:rPr>
        <w:t xml:space="preserve">of Law, </w:t>
      </w:r>
      <w:r w:rsidR="00666944" w:rsidRPr="00E32471">
        <w:rPr>
          <w:rFonts w:ascii="Times New Roman" w:hAnsi="Times New Roman" w:cs="Times New Roman"/>
          <w:i/>
          <w:sz w:val="20"/>
          <w:szCs w:val="20"/>
        </w:rPr>
        <w:t>Unive</w:t>
      </w:r>
      <w:r w:rsidRPr="00E32471">
        <w:rPr>
          <w:rFonts w:ascii="Times New Roman" w:hAnsi="Times New Roman" w:cs="Times New Roman"/>
          <w:i/>
          <w:sz w:val="20"/>
          <w:szCs w:val="20"/>
        </w:rPr>
        <w:t xml:space="preserve">rsity of Ilorin, Ilorin-Nigeria. Email: </w:t>
      </w:r>
      <w:hyperlink r:id="rId9" w:history="1">
        <w:r w:rsidRPr="00E32471">
          <w:rPr>
            <w:rStyle w:val="Hyperlink"/>
            <w:rFonts w:ascii="Times New Roman" w:hAnsi="Times New Roman" w:cs="Times New Roman"/>
            <w:i/>
            <w:sz w:val="20"/>
            <w:szCs w:val="20"/>
          </w:rPr>
          <w:t>itbalogunesq@gmail.com</w:t>
        </w:r>
      </w:hyperlink>
      <w:r w:rsidRPr="00E32471">
        <w:rPr>
          <w:rFonts w:ascii="Times New Roman" w:hAnsi="Times New Roman" w:cs="Times New Roman"/>
          <w:i/>
          <w:sz w:val="20"/>
          <w:szCs w:val="20"/>
        </w:rPr>
        <w:t xml:space="preserve"> </w:t>
      </w:r>
    </w:p>
    <w:p w:rsidR="00666944" w:rsidRPr="0013150B" w:rsidRDefault="00666944" w:rsidP="00666944">
      <w:pPr>
        <w:spacing w:after="0" w:line="240" w:lineRule="auto"/>
        <w:jc w:val="center"/>
        <w:rPr>
          <w:rFonts w:ascii="Times New Roman" w:hAnsi="Times New Roman" w:cs="Times New Roman"/>
          <w:b/>
          <w:sz w:val="24"/>
          <w:szCs w:val="24"/>
        </w:rPr>
      </w:pPr>
    </w:p>
    <w:p w:rsidR="00666944" w:rsidRPr="0013150B" w:rsidRDefault="00666944" w:rsidP="00666944">
      <w:pPr>
        <w:spacing w:after="0" w:line="360" w:lineRule="auto"/>
        <w:rPr>
          <w:rFonts w:ascii="Times New Roman" w:hAnsi="Times New Roman" w:cs="Times New Roman"/>
          <w:b/>
          <w:sz w:val="24"/>
          <w:szCs w:val="24"/>
        </w:rPr>
      </w:pPr>
    </w:p>
    <w:p w:rsidR="00666944" w:rsidRPr="00A32134" w:rsidRDefault="00666944" w:rsidP="00666944">
      <w:pPr>
        <w:spacing w:after="0" w:line="360" w:lineRule="auto"/>
        <w:jc w:val="center"/>
        <w:rPr>
          <w:rFonts w:ascii="Times New Roman" w:hAnsi="Times New Roman" w:cs="Times New Roman"/>
          <w:b/>
        </w:rPr>
      </w:pPr>
      <w:r w:rsidRPr="00A32134">
        <w:rPr>
          <w:rFonts w:ascii="Times New Roman" w:hAnsi="Times New Roman" w:cs="Times New Roman"/>
          <w:b/>
        </w:rPr>
        <w:t>ABSTRACT</w:t>
      </w:r>
    </w:p>
    <w:p w:rsidR="00666944" w:rsidRPr="00141CB9" w:rsidRDefault="00666944" w:rsidP="00014361">
      <w:pPr>
        <w:spacing w:after="0" w:line="240" w:lineRule="auto"/>
        <w:ind w:left="540" w:right="531"/>
        <w:jc w:val="both"/>
        <w:rPr>
          <w:rFonts w:ascii="Times New Roman" w:hAnsi="Times New Roman" w:cs="Times New Roman"/>
          <w:i/>
          <w:iCs/>
        </w:rPr>
      </w:pPr>
      <w:r w:rsidRPr="00141CB9">
        <w:rPr>
          <w:rFonts w:ascii="Times New Roman" w:hAnsi="Times New Roman" w:cs="Times New Roman"/>
          <w:i/>
          <w:iCs/>
        </w:rPr>
        <w:t>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stipulates that the cause of action in Islamic civil actions caught up by long delay becomes extinguished because of larches and acquiescence. It is undoubtedly that the 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applies to all Islamic civil matters in an Islamic court. In this vein, cases involving Al-Faraa’id (estate distribution) which have suffered undue delay are presumed by some litigants in Nigeria to have been extinguished in line with the 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 xml:space="preserve">Az-Zaman. Hence, majority of </w:t>
      </w:r>
      <w:r w:rsidR="00A729D3">
        <w:rPr>
          <w:rFonts w:ascii="Times New Roman" w:hAnsi="Times New Roman" w:cs="Times New Roman"/>
          <w:i/>
          <w:iCs/>
        </w:rPr>
        <w:t xml:space="preserve">the </w:t>
      </w:r>
      <w:r w:rsidRPr="00141CB9">
        <w:rPr>
          <w:rFonts w:ascii="Times New Roman" w:hAnsi="Times New Roman" w:cs="Times New Roman"/>
          <w:i/>
          <w:iCs/>
        </w:rPr>
        <w:t>people whose cases bother on the inheritance of their deceased have resorted to the fate that their rights can no longer be enforced in Islamic Court owing to the length of time that had lapsed in their circumstances. This continues to strengthen Fasaad (corruption) by unscrupulous people who derive pleasure and gains in withholding and eating up properties that are supposed to be shared by way of inheritance. The foregoing thus prompted this paper to examine the misapplication of the 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to Al-Faraa’id cases to ascertain the position of Islamic courts in Nigeria. The paper adopts the doctrinal method of legal research by analyzing the decision of the Shari’ah Court of Appeal in the case of Iya</w:t>
      </w:r>
      <w:r w:rsidR="00895855" w:rsidRPr="00141CB9">
        <w:rPr>
          <w:rFonts w:ascii="Times New Roman" w:hAnsi="Times New Roman" w:cs="Times New Roman"/>
          <w:i/>
          <w:iCs/>
        </w:rPr>
        <w:t xml:space="preserve"> </w:t>
      </w:r>
      <w:r w:rsidRPr="00141CB9">
        <w:rPr>
          <w:rFonts w:ascii="Times New Roman" w:hAnsi="Times New Roman" w:cs="Times New Roman"/>
          <w:i/>
          <w:iCs/>
        </w:rPr>
        <w:t>Maiwana V. Mamman Captain</w:t>
      </w:r>
      <w:r w:rsidR="00895855" w:rsidRPr="00141CB9">
        <w:rPr>
          <w:rFonts w:ascii="Times New Roman" w:hAnsi="Times New Roman" w:cs="Times New Roman"/>
          <w:i/>
          <w:iCs/>
        </w:rPr>
        <w:t xml:space="preserve"> </w:t>
      </w:r>
      <w:r w:rsidRPr="00141CB9">
        <w:rPr>
          <w:rFonts w:ascii="Times New Roman" w:hAnsi="Times New Roman" w:cs="Times New Roman"/>
          <w:i/>
          <w:iCs/>
        </w:rPr>
        <w:t>vis-à-vis the position of Islamic jurisprudence. The paper finds that though the 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applies to Islamic civil cases. However, Shari’ah</w:t>
      </w:r>
      <w:r w:rsidR="00895855" w:rsidRPr="00141CB9">
        <w:rPr>
          <w:rFonts w:ascii="Times New Roman" w:hAnsi="Times New Roman" w:cs="Times New Roman"/>
          <w:i/>
          <w:iCs/>
        </w:rPr>
        <w:t xml:space="preserve"> </w:t>
      </w:r>
      <w:r w:rsidRPr="00141CB9">
        <w:rPr>
          <w:rFonts w:ascii="Times New Roman" w:hAnsi="Times New Roman" w:cs="Times New Roman"/>
          <w:i/>
          <w:iCs/>
        </w:rPr>
        <w:t>considers Al-Faraa’id cases as exceptions</w:t>
      </w:r>
      <w:r w:rsidR="00895855" w:rsidRPr="00141CB9">
        <w:rPr>
          <w:rFonts w:ascii="Times New Roman" w:hAnsi="Times New Roman" w:cs="Times New Roman"/>
          <w:i/>
          <w:iCs/>
        </w:rPr>
        <w:t xml:space="preserve"> </w:t>
      </w:r>
      <w:r w:rsidRPr="00141CB9">
        <w:rPr>
          <w:rFonts w:ascii="Times New Roman" w:hAnsi="Times New Roman" w:cs="Times New Roman"/>
          <w:i/>
          <w:iCs/>
        </w:rPr>
        <w:t>to the application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because they are sui generis. This is thus the position of Islamic courts in Nigeria owing to the inherent HaqquLlah (right of Allah) in Al-Faraaid cases which cannot be waived no matter the delay before instituting such cases before Islamic courts. The paper suggests that Islamic courts in Nigeria should never deviate from their ascertained position that the Al-Faraa’id case cannot be affected by the principle of Murur</w:t>
      </w:r>
      <w:r w:rsidR="00895855" w:rsidRPr="00141CB9">
        <w:rPr>
          <w:rFonts w:ascii="Times New Roman" w:hAnsi="Times New Roman" w:cs="Times New Roman"/>
          <w:i/>
          <w:iCs/>
        </w:rPr>
        <w:t xml:space="preserve"> </w:t>
      </w:r>
      <w:r w:rsidRPr="00141CB9">
        <w:rPr>
          <w:rFonts w:ascii="Times New Roman" w:hAnsi="Times New Roman" w:cs="Times New Roman"/>
          <w:i/>
          <w:iCs/>
        </w:rPr>
        <w:t>Az-Zaman. Because lots of such cases are yet to be filed by litigants under the mistaken impression that long delay affects Al-Faraa’id cases. It is further suggested</w:t>
      </w:r>
      <w:r w:rsidR="00895855" w:rsidRPr="00141CB9">
        <w:rPr>
          <w:rFonts w:ascii="Times New Roman" w:hAnsi="Times New Roman" w:cs="Times New Roman"/>
          <w:i/>
          <w:iCs/>
        </w:rPr>
        <w:t xml:space="preserve"> </w:t>
      </w:r>
      <w:r w:rsidRPr="00141CB9">
        <w:rPr>
          <w:rFonts w:ascii="Times New Roman" w:hAnsi="Times New Roman" w:cs="Times New Roman"/>
          <w:i/>
          <w:iCs/>
        </w:rPr>
        <w:t xml:space="preserve">that Islamic courts in Nigeria should begin to organize </w:t>
      </w:r>
      <w:r w:rsidRPr="00141CB9">
        <w:rPr>
          <w:rFonts w:ascii="Times New Roman" w:hAnsi="Times New Roman" w:cs="Times New Roman"/>
          <w:i/>
          <w:iCs/>
        </w:rPr>
        <w:lastRenderedPageBreak/>
        <w:t>seminars and workshops</w:t>
      </w:r>
      <w:r w:rsidR="00895855" w:rsidRPr="00141CB9">
        <w:rPr>
          <w:rFonts w:ascii="Times New Roman" w:hAnsi="Times New Roman" w:cs="Times New Roman"/>
          <w:i/>
          <w:iCs/>
        </w:rPr>
        <w:t xml:space="preserve"> </w:t>
      </w:r>
      <w:r w:rsidRPr="00141CB9">
        <w:rPr>
          <w:rFonts w:ascii="Times New Roman" w:hAnsi="Times New Roman" w:cs="Times New Roman"/>
          <w:i/>
          <w:iCs/>
        </w:rPr>
        <w:t>to sensitize the general public that despite the long delay concerning Al-Faraa’id cases, Islamic courts are ready to entertain their cases.</w:t>
      </w:r>
    </w:p>
    <w:p w:rsidR="00666944" w:rsidRPr="0013150B" w:rsidRDefault="00666944" w:rsidP="003A1B12">
      <w:pPr>
        <w:spacing w:line="360" w:lineRule="auto"/>
        <w:ind w:left="180" w:right="171"/>
        <w:rPr>
          <w:rFonts w:ascii="Times New Roman" w:hAnsi="Times New Roman" w:cs="Times New Roman"/>
          <w:b/>
          <w:sz w:val="8"/>
          <w:szCs w:val="24"/>
        </w:rPr>
      </w:pPr>
    </w:p>
    <w:p w:rsidR="00666944" w:rsidRPr="00522AEE" w:rsidRDefault="00666944" w:rsidP="00522AEE">
      <w:pPr>
        <w:spacing w:line="360" w:lineRule="auto"/>
        <w:rPr>
          <w:rFonts w:ascii="Times New Roman" w:hAnsi="Times New Roman" w:cs="Times New Roman"/>
          <w:b/>
        </w:rPr>
      </w:pPr>
      <w:r w:rsidRPr="00A32134">
        <w:rPr>
          <w:rFonts w:ascii="Times New Roman" w:hAnsi="Times New Roman" w:cs="Times New Roman"/>
        </w:rPr>
        <w:t>Keywords: Murur</w:t>
      </w:r>
      <w:r w:rsidR="00582A87" w:rsidRPr="00A32134">
        <w:rPr>
          <w:rFonts w:ascii="Times New Roman" w:hAnsi="Times New Roman" w:cs="Times New Roman"/>
        </w:rPr>
        <w:t xml:space="preserve"> </w:t>
      </w:r>
      <w:r w:rsidRPr="00A32134">
        <w:rPr>
          <w:rFonts w:ascii="Times New Roman" w:hAnsi="Times New Roman" w:cs="Times New Roman"/>
        </w:rPr>
        <w:t>Az-Zaman, Al-Far</w:t>
      </w:r>
      <w:r w:rsidR="00582A87" w:rsidRPr="00A32134">
        <w:rPr>
          <w:rFonts w:ascii="Times New Roman" w:hAnsi="Times New Roman" w:cs="Times New Roman"/>
        </w:rPr>
        <w:t xml:space="preserve">aa’id, Misapplication, Nigeria, </w:t>
      </w:r>
      <w:r w:rsidRPr="00A32134">
        <w:rPr>
          <w:rFonts w:ascii="Times New Roman" w:hAnsi="Times New Roman" w:cs="Times New Roman"/>
        </w:rPr>
        <w:t>Islamic Courts</w:t>
      </w:r>
    </w:p>
    <w:p w:rsidR="00666944" w:rsidRPr="0013150B" w:rsidRDefault="00666944" w:rsidP="00666944">
      <w:pPr>
        <w:spacing w:line="360" w:lineRule="auto"/>
        <w:rPr>
          <w:rFonts w:ascii="Times New Roman" w:hAnsi="Times New Roman" w:cs="Times New Roman"/>
          <w:b/>
          <w:sz w:val="24"/>
          <w:szCs w:val="24"/>
        </w:rPr>
      </w:pPr>
      <w:r w:rsidRPr="0013150B">
        <w:rPr>
          <w:rFonts w:ascii="Times New Roman" w:hAnsi="Times New Roman" w:cs="Times New Roman"/>
          <w:b/>
          <w:sz w:val="24"/>
          <w:szCs w:val="24"/>
        </w:rPr>
        <w:t>1. Introduction</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In Islamic jurisprudence, a great deal of attention is given to property management during the life and after the demise of the holder. This is because man generally likes to amass properties and wealth.</w:t>
      </w:r>
      <w:r w:rsidRPr="0013150B">
        <w:rPr>
          <w:rStyle w:val="FootnoteReference"/>
          <w:rFonts w:ascii="Times New Roman" w:hAnsi="Times New Roman" w:cs="Times New Roman"/>
          <w:sz w:val="24"/>
          <w:szCs w:val="24"/>
        </w:rPr>
        <w:footnoteReference w:id="1"/>
      </w:r>
      <w:r w:rsidRPr="0013150B">
        <w:rPr>
          <w:rFonts w:ascii="Times New Roman" w:hAnsi="Times New Roman" w:cs="Times New Roman"/>
          <w:sz w:val="24"/>
          <w:szCs w:val="24"/>
        </w:rPr>
        <w:t xml:space="preserve"> While they fight profusely against one another because of properties in their lifetime, the scenario repeats itself even after the death of the owner of the properties. Little wonder Allah ordains for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after the demise of a deceased Muslim who left behind properties.</w:t>
      </w:r>
      <w:r w:rsidRPr="0013150B">
        <w:rPr>
          <w:rStyle w:val="FootnoteReference"/>
          <w:rFonts w:ascii="Times New Roman" w:hAnsi="Times New Roman" w:cs="Times New Roman"/>
          <w:sz w:val="24"/>
          <w:szCs w:val="24"/>
        </w:rPr>
        <w:footnoteReference w:id="2"/>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In Nigeria, despite the clear Shari’ah legislation on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the distribution of the estate of a deceased Muslim usually faces challenges, especially in a situation where the estate was not distributed immediately after the demise of the deceased Muslim but after some lapse of time. Of course, where such delay has occurred before sharing the estate of the deceased, at times, the properties/estate would have gotten into the wrong hands or in possession of family member(s) who are not ready to let go of the estate in which case resort to litigation in Islamic court becomes the only option. Even when such a case gets to the Islamic court, the challenges continue through misapplication of the principle of </w:t>
      </w:r>
      <w:r w:rsidRPr="0013150B">
        <w:rPr>
          <w:rFonts w:ascii="Times New Roman" w:hAnsi="Times New Roman" w:cs="Times New Roman"/>
          <w:iCs/>
          <w:sz w:val="24"/>
          <w:szCs w:val="24"/>
        </w:rPr>
        <w:t>Murur Az- Zaman</w:t>
      </w:r>
      <w:r w:rsidRPr="0013150B">
        <w:rPr>
          <w:rFonts w:ascii="Times New Roman" w:hAnsi="Times New Roman" w:cs="Times New Roman"/>
          <w:sz w:val="24"/>
          <w:szCs w:val="24"/>
        </w:rPr>
        <w:t xml:space="preserve"> (expiration of time) to defeat the underlining purpose of Allah’s ordinance for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(estate distribution).   </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The question is whether the long delay before the distribution of estate outrightly extinguishes the rights of those who have stakes in the properties subject matter of inheritance. Answering the question requires ascertaining the position of Islamic courts in Nigeria as per the application of the principle of </w:t>
      </w:r>
      <w:r w:rsidRPr="0013150B">
        <w:rPr>
          <w:rFonts w:ascii="Times New Roman" w:hAnsi="Times New Roman" w:cs="Times New Roman"/>
          <w:iCs/>
          <w:sz w:val="24"/>
          <w:szCs w:val="24"/>
        </w:rPr>
        <w:t>Murur</w:t>
      </w:r>
      <w:r w:rsidR="00597E2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w:t>
      </w:r>
    </w:p>
    <w:p w:rsidR="002F2C6D" w:rsidRDefault="002F2C6D" w:rsidP="00666944">
      <w:pPr>
        <w:spacing w:line="360" w:lineRule="auto"/>
        <w:rPr>
          <w:rFonts w:ascii="Times New Roman" w:hAnsi="Times New Roman" w:cs="Times New Roman"/>
          <w:b/>
          <w:sz w:val="24"/>
          <w:szCs w:val="24"/>
        </w:rPr>
      </w:pPr>
    </w:p>
    <w:p w:rsidR="002F2C6D" w:rsidRDefault="002F2C6D" w:rsidP="00666944">
      <w:pPr>
        <w:spacing w:line="360" w:lineRule="auto"/>
        <w:rPr>
          <w:rFonts w:ascii="Times New Roman" w:hAnsi="Times New Roman" w:cs="Times New Roman"/>
          <w:b/>
          <w:sz w:val="24"/>
          <w:szCs w:val="24"/>
        </w:rPr>
      </w:pPr>
    </w:p>
    <w:p w:rsidR="00666944" w:rsidRPr="0013150B" w:rsidRDefault="00666944" w:rsidP="00666944">
      <w:pPr>
        <w:spacing w:line="360" w:lineRule="auto"/>
        <w:rPr>
          <w:rFonts w:ascii="Times New Roman" w:hAnsi="Times New Roman" w:cs="Times New Roman"/>
          <w:b/>
          <w:sz w:val="24"/>
          <w:szCs w:val="24"/>
        </w:rPr>
      </w:pPr>
      <w:r w:rsidRPr="0013150B">
        <w:rPr>
          <w:rFonts w:ascii="Times New Roman" w:hAnsi="Times New Roman" w:cs="Times New Roman"/>
          <w:b/>
          <w:sz w:val="24"/>
          <w:szCs w:val="24"/>
        </w:rPr>
        <w:t>2. Conceptual Analysis of Islamic Principles of MururAz-Zaman and Al-Faraa’id</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lastRenderedPageBreak/>
        <w:t>Nigeria is a multi-legal system nation.</w:t>
      </w:r>
      <w:r w:rsidRPr="0013150B">
        <w:rPr>
          <w:rStyle w:val="FootnoteReference"/>
          <w:rFonts w:ascii="Times New Roman" w:hAnsi="Times New Roman" w:cs="Times New Roman"/>
          <w:sz w:val="24"/>
          <w:szCs w:val="24"/>
        </w:rPr>
        <w:footnoteReference w:id="3"/>
      </w:r>
      <w:r w:rsidRPr="0013150B">
        <w:rPr>
          <w:rFonts w:ascii="Times New Roman" w:hAnsi="Times New Roman" w:cs="Times New Roman"/>
          <w:sz w:val="24"/>
          <w:szCs w:val="24"/>
        </w:rPr>
        <w:t xml:space="preserve"> The country is blessed with a very rich Shari’ah legal system alongside the received English common law and customary law.</w:t>
      </w:r>
      <w:r w:rsidRPr="0013150B">
        <w:rPr>
          <w:rStyle w:val="FootnoteReference"/>
          <w:rFonts w:ascii="Times New Roman" w:hAnsi="Times New Roman" w:cs="Times New Roman"/>
          <w:sz w:val="24"/>
          <w:szCs w:val="24"/>
        </w:rPr>
        <w:footnoteReference w:id="4"/>
      </w:r>
      <w:r w:rsidR="00597E2B">
        <w:rPr>
          <w:rFonts w:ascii="Times New Roman" w:hAnsi="Times New Roman" w:cs="Times New Roman"/>
          <w:sz w:val="24"/>
          <w:szCs w:val="24"/>
        </w:rPr>
        <w:t xml:space="preserve"> </w:t>
      </w:r>
      <w:r w:rsidRPr="0013150B">
        <w:rPr>
          <w:rFonts w:ascii="Times New Roman" w:hAnsi="Times New Roman" w:cs="Times New Roman"/>
          <w:sz w:val="24"/>
          <w:szCs w:val="24"/>
        </w:rPr>
        <w:t>Noticeably, both Shari’ah and the received common law legal systems have several similarities with unique differences and applications. A case in point is the concept of a statute of limitation being the focal point of this study. In Shari’ah legal parlance, it is referred to as the principle of MururAz-Zaman.</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Murur</w:t>
      </w:r>
      <w:r w:rsidR="00597E2B">
        <w:rPr>
          <w:rFonts w:ascii="Times New Roman" w:hAnsi="Times New Roman" w:cs="Times New Roman"/>
          <w:sz w:val="24"/>
          <w:szCs w:val="24"/>
        </w:rPr>
        <w:t xml:space="preserve"> </w:t>
      </w:r>
      <w:r w:rsidRPr="0013150B">
        <w:rPr>
          <w:rFonts w:ascii="Times New Roman" w:hAnsi="Times New Roman" w:cs="Times New Roman"/>
          <w:sz w:val="24"/>
          <w:szCs w:val="24"/>
        </w:rPr>
        <w:t>Az-Zaman is an applicable principle under Shari’ah.</w:t>
      </w:r>
      <w:r w:rsidRPr="0013150B">
        <w:rPr>
          <w:rStyle w:val="FootnoteReference"/>
          <w:rFonts w:ascii="Times New Roman" w:hAnsi="Times New Roman" w:cs="Times New Roman"/>
          <w:sz w:val="24"/>
          <w:szCs w:val="24"/>
        </w:rPr>
        <w:footnoteReference w:id="5"/>
      </w:r>
      <w:r w:rsidRPr="0013150B">
        <w:rPr>
          <w:rFonts w:ascii="Times New Roman" w:hAnsi="Times New Roman" w:cs="Times New Roman"/>
          <w:sz w:val="24"/>
          <w:szCs w:val="24"/>
        </w:rPr>
        <w:t xml:space="preserve"> It is an Arabic terminology that comprises two words ‘Murur’ and ‘Az-Zaman.’ The word ‘Murur’ refers to the passage of things while the word ‘Az-Zaman’ is a definite noun that refers to the time or the period. Contextually, Murur Az-Zaman can be referred to as the passage of time or the expiration of time.</w:t>
      </w:r>
      <w:r w:rsidRPr="0013150B">
        <w:rPr>
          <w:rStyle w:val="FootnoteReference"/>
          <w:rFonts w:ascii="Times New Roman" w:hAnsi="Times New Roman" w:cs="Times New Roman"/>
          <w:sz w:val="24"/>
          <w:szCs w:val="24"/>
        </w:rPr>
        <w:footnoteReference w:id="6"/>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In Shari’ah legal parlance, Islamic jurists have preferred to adopt a legal terminology, limitation of action, for the principle of Murur Az-Zaman. Thus, Murur Az-Zaman is an Islamic law principle that stipulates the expected period after a cause of action has arisen within which to litigate an action expiration of which closes the door of litigation for the cause of action.</w:t>
      </w:r>
      <w:r w:rsidRPr="0013150B">
        <w:rPr>
          <w:rStyle w:val="FootnoteReference"/>
          <w:rFonts w:ascii="Times New Roman" w:hAnsi="Times New Roman" w:cs="Times New Roman"/>
          <w:sz w:val="24"/>
          <w:szCs w:val="24"/>
        </w:rPr>
        <w:footnoteReference w:id="7"/>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Need to say that the principle of limitation of action is recognized under Islamic law practice through the Islamic law principle of Murur Az-Zaman. The rationale for the formulation of the principle is to ensure the quick disposition of actions at the earliest time possible and to put an end to litigation in the deserving situation.</w:t>
      </w:r>
      <w:r w:rsidRPr="0013150B">
        <w:rPr>
          <w:rStyle w:val="FootnoteReference"/>
          <w:rFonts w:ascii="Times New Roman" w:hAnsi="Times New Roman" w:cs="Times New Roman"/>
          <w:sz w:val="24"/>
          <w:szCs w:val="24"/>
        </w:rPr>
        <w:footnoteReference w:id="8"/>
      </w:r>
      <w:r w:rsidRPr="0013150B">
        <w:rPr>
          <w:rFonts w:ascii="Times New Roman" w:hAnsi="Times New Roman" w:cs="Times New Roman"/>
          <w:sz w:val="24"/>
          <w:szCs w:val="24"/>
        </w:rPr>
        <w:t xml:space="preserve"> The principle has certain conditions which if satisfied, could put an end to any cause of action caught up with Murur Az-Zaman.</w:t>
      </w:r>
      <w:r w:rsidRPr="0013150B">
        <w:rPr>
          <w:rStyle w:val="FootnoteReference"/>
          <w:rFonts w:ascii="Times New Roman" w:hAnsi="Times New Roman" w:cs="Times New Roman"/>
          <w:sz w:val="24"/>
          <w:szCs w:val="24"/>
        </w:rPr>
        <w:footnoteReference w:id="9"/>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It is noteworthy that the principle of Murur Az-Zaman is derived from the general Prophetic Hadith which stipulates that anyone that possesses a thing for over a period of ten years is deemed to own it in compliance with the conditions laid down for the principle.</w:t>
      </w:r>
      <w:r w:rsidRPr="0013150B">
        <w:rPr>
          <w:rStyle w:val="FootnoteReference"/>
          <w:rFonts w:ascii="Times New Roman" w:hAnsi="Times New Roman" w:cs="Times New Roman"/>
          <w:sz w:val="24"/>
          <w:szCs w:val="24"/>
        </w:rPr>
        <w:footnoteReference w:id="10"/>
      </w:r>
      <w:r w:rsidRPr="0013150B">
        <w:rPr>
          <w:rFonts w:ascii="Times New Roman" w:hAnsi="Times New Roman" w:cs="Times New Roman"/>
          <w:sz w:val="24"/>
          <w:szCs w:val="24"/>
        </w:rPr>
        <w:t xml:space="preserve"> Thus, since the formulation of the principle in Islamic jurisprudence, it has become a litigation useful tool for </w:t>
      </w:r>
      <w:r w:rsidRPr="0013150B">
        <w:rPr>
          <w:rFonts w:ascii="Times New Roman" w:hAnsi="Times New Roman" w:cs="Times New Roman"/>
          <w:sz w:val="24"/>
          <w:szCs w:val="24"/>
        </w:rPr>
        <w:lastRenderedPageBreak/>
        <w:t>defendants in appropriate situations in civil matters. Hence, the application of Murur</w:t>
      </w:r>
      <w:r w:rsidR="00A729D3">
        <w:rPr>
          <w:rFonts w:ascii="Times New Roman" w:hAnsi="Times New Roman" w:cs="Times New Roman"/>
          <w:sz w:val="24"/>
          <w:szCs w:val="24"/>
        </w:rPr>
        <w:t xml:space="preserve"> </w:t>
      </w:r>
      <w:r w:rsidRPr="0013150B">
        <w:rPr>
          <w:rFonts w:ascii="Times New Roman" w:hAnsi="Times New Roman" w:cs="Times New Roman"/>
          <w:sz w:val="24"/>
          <w:szCs w:val="24"/>
        </w:rPr>
        <w:t>Az-Zaman does not go beyond the territory of Islamic civil matters. Undoubtedly, Al-Faraa’id cases are parts of Islamic civil matters.</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Al-Faraa’id refers to the Shari’ah concept which deals with Muslims’ inheritance after their demise.</w:t>
      </w:r>
      <w:r w:rsidRPr="0013150B">
        <w:rPr>
          <w:rStyle w:val="FootnoteReference"/>
          <w:rFonts w:ascii="Times New Roman" w:hAnsi="Times New Roman" w:cs="Times New Roman"/>
          <w:sz w:val="24"/>
          <w:szCs w:val="24"/>
        </w:rPr>
        <w:footnoteReference w:id="11"/>
      </w:r>
      <w:r w:rsidRPr="0013150B">
        <w:rPr>
          <w:rFonts w:ascii="Times New Roman" w:hAnsi="Times New Roman" w:cs="Times New Roman"/>
          <w:sz w:val="24"/>
          <w:szCs w:val="24"/>
        </w:rPr>
        <w:t xml:space="preserve"> It is divine legislation in the holy Qur’an which admits to no discretion.</w:t>
      </w:r>
      <w:r w:rsidRPr="0013150B">
        <w:rPr>
          <w:rStyle w:val="FootnoteReference"/>
          <w:rFonts w:ascii="Times New Roman" w:hAnsi="Times New Roman" w:cs="Times New Roman"/>
          <w:sz w:val="24"/>
          <w:szCs w:val="24"/>
        </w:rPr>
        <w:footnoteReference w:id="12"/>
      </w:r>
      <w:r w:rsidRPr="0013150B">
        <w:rPr>
          <w:rFonts w:ascii="Times New Roman" w:hAnsi="Times New Roman" w:cs="Times New Roman"/>
          <w:sz w:val="24"/>
          <w:szCs w:val="24"/>
        </w:rPr>
        <w:t xml:space="preserve"> As an Islamic concept, it finds solutions to salient inheritance problems of whom to inherit? Whom to inherit from? What to inherit? What quantum to inherit? In the cause of addressing the inherent questions, reliance is placed principally on Qur’an, Sunnah and Ijma’a.</w:t>
      </w:r>
      <w:r w:rsidRPr="0013150B">
        <w:rPr>
          <w:rStyle w:val="FootnoteReference"/>
          <w:rFonts w:ascii="Times New Roman" w:hAnsi="Times New Roman" w:cs="Times New Roman"/>
          <w:sz w:val="24"/>
          <w:szCs w:val="24"/>
        </w:rPr>
        <w:footnoteReference w:id="13"/>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Al-Faraa’id is an aspect of Shari’ah that requires adequate attention and understanding.</w:t>
      </w:r>
      <w:r w:rsidRPr="0013150B">
        <w:rPr>
          <w:rStyle w:val="FootnoteReference"/>
          <w:rFonts w:ascii="Times New Roman" w:hAnsi="Times New Roman" w:cs="Times New Roman"/>
          <w:sz w:val="24"/>
          <w:szCs w:val="24"/>
        </w:rPr>
        <w:footnoteReference w:id="14"/>
      </w:r>
      <w:r w:rsidRPr="0013150B">
        <w:rPr>
          <w:rFonts w:ascii="Times New Roman" w:hAnsi="Times New Roman" w:cs="Times New Roman"/>
          <w:sz w:val="24"/>
          <w:szCs w:val="24"/>
        </w:rPr>
        <w:t xml:space="preserve"> It is an area that requires great expertise. Little wonder it is one of many spheres of Shari’ah that enjoy practical application among Muslim scholars who specialize in the field.</w:t>
      </w:r>
      <w:r w:rsidRPr="0013150B">
        <w:rPr>
          <w:rStyle w:val="FootnoteReference"/>
          <w:rFonts w:ascii="Times New Roman" w:hAnsi="Times New Roman" w:cs="Times New Roman"/>
          <w:sz w:val="24"/>
          <w:szCs w:val="24"/>
        </w:rPr>
        <w:footnoteReference w:id="15"/>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Among the practitioners, Al-Faraa’id is used interchangeably with Miraath to refer to inheritance and succession.</w:t>
      </w:r>
      <w:r w:rsidRPr="0013150B">
        <w:rPr>
          <w:rStyle w:val="FootnoteReference"/>
          <w:rFonts w:ascii="Times New Roman" w:hAnsi="Times New Roman" w:cs="Times New Roman"/>
          <w:sz w:val="24"/>
          <w:szCs w:val="24"/>
        </w:rPr>
        <w:footnoteReference w:id="16"/>
      </w:r>
      <w:r w:rsidRPr="0013150B">
        <w:rPr>
          <w:rFonts w:ascii="Times New Roman" w:hAnsi="Times New Roman" w:cs="Times New Roman"/>
          <w:sz w:val="24"/>
          <w:szCs w:val="24"/>
        </w:rPr>
        <w:t xml:space="preserve"> The unique nature of Al-Faraa’id is that it takes care of the right of man i.e., the legal heirs over their deceased Muslims’ estate without leaving out the right of Allah. The right of Allah is taken care of through the practical application of Al-Faraa’id amongst Muslims because it ensures obedience to the commandment of Allah.</w:t>
      </w:r>
      <w:r w:rsidRPr="0013150B">
        <w:rPr>
          <w:rStyle w:val="FootnoteReference"/>
          <w:rFonts w:ascii="Times New Roman" w:hAnsi="Times New Roman" w:cs="Times New Roman"/>
          <w:sz w:val="24"/>
          <w:szCs w:val="24"/>
        </w:rPr>
        <w:footnoteReference w:id="17"/>
      </w:r>
      <w:r w:rsidRPr="0013150B">
        <w:rPr>
          <w:rFonts w:ascii="Times New Roman" w:hAnsi="Times New Roman" w:cs="Times New Roman"/>
          <w:sz w:val="24"/>
          <w:szCs w:val="24"/>
        </w:rPr>
        <w:t xml:space="preserve"> It also establishes absolute ownership of Allah over the properties temporarily entrusted to mankind.</w:t>
      </w:r>
      <w:r w:rsidRPr="0013150B">
        <w:rPr>
          <w:rStyle w:val="FootnoteReference"/>
          <w:rFonts w:ascii="Times New Roman" w:hAnsi="Times New Roman" w:cs="Times New Roman"/>
          <w:sz w:val="24"/>
          <w:szCs w:val="24"/>
        </w:rPr>
        <w:footnoteReference w:id="18"/>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However, due to the greedy nature of man, there usually arise litigations over the inheritance of deceased Muslims which brings to the fore the situation of inviting a Qadi (Judge) to determine the rights and liabilities of the legal heir.</w:t>
      </w:r>
      <w:r w:rsidRPr="0013150B">
        <w:rPr>
          <w:rStyle w:val="FootnoteReference"/>
          <w:rFonts w:ascii="Times New Roman" w:hAnsi="Times New Roman" w:cs="Times New Roman"/>
          <w:sz w:val="24"/>
          <w:szCs w:val="24"/>
        </w:rPr>
        <w:footnoteReference w:id="19"/>
      </w:r>
      <w:r w:rsidRPr="0013150B">
        <w:rPr>
          <w:rFonts w:ascii="Times New Roman" w:hAnsi="Times New Roman" w:cs="Times New Roman"/>
          <w:sz w:val="24"/>
          <w:szCs w:val="24"/>
        </w:rPr>
        <w:t xml:space="preserve"> In this circumstance, since Al-Faraa’id is a divine Allah </w:t>
      </w:r>
      <w:r w:rsidRPr="0013150B">
        <w:rPr>
          <w:rFonts w:ascii="Times New Roman" w:hAnsi="Times New Roman" w:cs="Times New Roman"/>
          <w:sz w:val="24"/>
          <w:szCs w:val="24"/>
        </w:rPr>
        <w:lastRenderedPageBreak/>
        <w:t>commandment, such Al-Faraa’id cases are decided to uphold the right of Allah over the estate of the deceased.</w:t>
      </w:r>
      <w:r w:rsidRPr="0013150B">
        <w:rPr>
          <w:rStyle w:val="FootnoteReference"/>
          <w:rFonts w:ascii="Times New Roman" w:hAnsi="Times New Roman" w:cs="Times New Roman"/>
          <w:sz w:val="24"/>
          <w:szCs w:val="24"/>
        </w:rPr>
        <w:footnoteReference w:id="20"/>
      </w:r>
    </w:p>
    <w:p w:rsidR="00666944" w:rsidRPr="0013150B" w:rsidRDefault="00666944" w:rsidP="00666944">
      <w:pPr>
        <w:spacing w:line="360" w:lineRule="auto"/>
        <w:jc w:val="both"/>
        <w:rPr>
          <w:rFonts w:ascii="Times New Roman" w:hAnsi="Times New Roman" w:cs="Times New Roman"/>
          <w:b/>
          <w:sz w:val="24"/>
          <w:szCs w:val="24"/>
        </w:rPr>
      </w:pPr>
      <w:r w:rsidRPr="0013150B">
        <w:rPr>
          <w:rFonts w:ascii="Times New Roman" w:hAnsi="Times New Roman" w:cs="Times New Roman"/>
          <w:b/>
          <w:sz w:val="24"/>
          <w:szCs w:val="24"/>
        </w:rPr>
        <w:t>3. Constitutional Classification of Al-Faraa’id Cases in Nigeria</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As stated earlier, the Islamic legal system enjoys operation in Nigeria but it is however not free of interference from the received English common law system.</w:t>
      </w:r>
      <w:r w:rsidRPr="0013150B">
        <w:rPr>
          <w:rStyle w:val="FootnoteReference"/>
          <w:rFonts w:ascii="Times New Roman" w:hAnsi="Times New Roman" w:cs="Times New Roman"/>
          <w:sz w:val="24"/>
          <w:szCs w:val="24"/>
        </w:rPr>
        <w:footnoteReference w:id="21"/>
      </w:r>
      <w:r w:rsidRPr="0013150B">
        <w:rPr>
          <w:rFonts w:ascii="Times New Roman" w:hAnsi="Times New Roman" w:cs="Times New Roman"/>
          <w:sz w:val="24"/>
          <w:szCs w:val="24"/>
        </w:rPr>
        <w:t xml:space="preserve"> The reason is that Al-Faraa’id cases being cases emanating from disputes arising from inheritance or succession of a Muslim’s estates are adjudicated upon by Islamic courts. The so-called Islamic courts are the creation of the constitution with limited and modified jurisdictions.</w:t>
      </w:r>
      <w:r w:rsidRPr="0013150B">
        <w:rPr>
          <w:rStyle w:val="FootnoteReference"/>
          <w:rFonts w:ascii="Times New Roman" w:hAnsi="Times New Roman" w:cs="Times New Roman"/>
          <w:sz w:val="24"/>
          <w:szCs w:val="24"/>
        </w:rPr>
        <w:footnoteReference w:id="22"/>
      </w:r>
      <w:r w:rsidRPr="0013150B">
        <w:rPr>
          <w:rFonts w:ascii="Times New Roman" w:hAnsi="Times New Roman" w:cs="Times New Roman"/>
          <w:sz w:val="24"/>
          <w:szCs w:val="24"/>
        </w:rPr>
        <w:t xml:space="preserve"> The jurisdictions of Islamic courts under Shari’ah are wide and unlimited compared to the Nigerian constitutional provisions on Islamic law courts’ jurisdiction which have been generally constricted to Islamic personal matters with permission given to each State of the federation to expand their jurisdictional powers.</w:t>
      </w:r>
      <w:r w:rsidRPr="0013150B">
        <w:rPr>
          <w:rStyle w:val="FootnoteReference"/>
          <w:rFonts w:ascii="Times New Roman" w:hAnsi="Times New Roman" w:cs="Times New Roman"/>
          <w:sz w:val="24"/>
          <w:szCs w:val="24"/>
        </w:rPr>
        <w:footnoteReference w:id="23"/>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Generally, according to the constitution, Islamic law courts in Nigeria cannot decide cases outside the purview of the defined Islamic personal matters except and otherwise expanded by State laws. Thus, the constitution stipulates Islamic personal matters to include marriage solemnization, marriage dissolution, guardianship, custody of children, maintenance of children, endowment, gift, Will, and succession to mention but a few.</w:t>
      </w:r>
      <w:r w:rsidRPr="0013150B">
        <w:rPr>
          <w:rStyle w:val="FootnoteReference"/>
          <w:rFonts w:ascii="Times New Roman" w:hAnsi="Times New Roman" w:cs="Times New Roman"/>
          <w:sz w:val="24"/>
          <w:szCs w:val="24"/>
        </w:rPr>
        <w:footnoteReference w:id="24"/>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From the foregoing, succession being listed under Islamic personal matters in the constitution indicates the constitutional classification of Al-Faraa’id cases in Nigeria. Hence, cases or disputes emanating from Al-Faraa’id (inheritance and succession) are classified under Islamic personal matters. By their very nature, Islamic personal matters are civil in nature and can as well be regarded as Islamic civil matters that are determinable by Islamic courts in Nigeria.</w:t>
      </w:r>
    </w:p>
    <w:p w:rsidR="00666944" w:rsidRPr="0013150B" w:rsidRDefault="00666944" w:rsidP="00A74B33">
      <w:pPr>
        <w:spacing w:line="240" w:lineRule="auto"/>
        <w:jc w:val="both"/>
        <w:rPr>
          <w:rFonts w:ascii="Times New Roman" w:hAnsi="Times New Roman" w:cs="Times New Roman"/>
          <w:b/>
          <w:sz w:val="24"/>
          <w:szCs w:val="24"/>
        </w:rPr>
      </w:pPr>
      <w:r w:rsidRPr="0013150B">
        <w:rPr>
          <w:rFonts w:ascii="Times New Roman" w:hAnsi="Times New Roman" w:cs="Times New Roman"/>
          <w:b/>
          <w:sz w:val="24"/>
          <w:szCs w:val="24"/>
        </w:rPr>
        <w:t>4. Application of the Principle of Murur Az-Zaman to Islamic Civil Cases in Nigeria</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principle of Murur Az-Zaman is derived from the source of Shari’ah which enjoys application in Islamic civil matters. It is a principle of law that ensures the speedy disposition of cases at the earliest time when the evidence is available and fresh in the minds of witnesses and other stakeholders.</w:t>
      </w:r>
      <w:r w:rsidRPr="0013150B">
        <w:rPr>
          <w:rStyle w:val="FootnoteReference"/>
          <w:rFonts w:ascii="Times New Roman" w:hAnsi="Times New Roman" w:cs="Times New Roman"/>
          <w:sz w:val="24"/>
          <w:szCs w:val="24"/>
        </w:rPr>
        <w:footnoteReference w:id="25"/>
      </w:r>
      <w:r w:rsidR="00597E2B">
        <w:rPr>
          <w:rFonts w:ascii="Times New Roman" w:hAnsi="Times New Roman" w:cs="Times New Roman"/>
          <w:sz w:val="24"/>
          <w:szCs w:val="24"/>
        </w:rPr>
        <w:t xml:space="preserve"> </w:t>
      </w:r>
      <w:r w:rsidRPr="0013150B">
        <w:rPr>
          <w:rFonts w:ascii="Times New Roman" w:hAnsi="Times New Roman" w:cs="Times New Roman"/>
          <w:sz w:val="24"/>
          <w:szCs w:val="24"/>
        </w:rPr>
        <w:t xml:space="preserve">Murur Az-Zaman is technically referred to as a limitation of </w:t>
      </w:r>
      <w:r w:rsidRPr="0013150B">
        <w:rPr>
          <w:rFonts w:ascii="Times New Roman" w:hAnsi="Times New Roman" w:cs="Times New Roman"/>
          <w:sz w:val="24"/>
          <w:szCs w:val="24"/>
        </w:rPr>
        <w:lastRenderedPageBreak/>
        <w:t>action.</w:t>
      </w:r>
      <w:r w:rsidRPr="0013150B">
        <w:rPr>
          <w:rStyle w:val="FootnoteReference"/>
          <w:rFonts w:ascii="Times New Roman" w:hAnsi="Times New Roman" w:cs="Times New Roman"/>
          <w:sz w:val="24"/>
          <w:szCs w:val="24"/>
        </w:rPr>
        <w:footnoteReference w:id="26"/>
      </w:r>
      <w:r w:rsidRPr="0013150B">
        <w:rPr>
          <w:rFonts w:ascii="Times New Roman" w:hAnsi="Times New Roman" w:cs="Times New Roman"/>
          <w:sz w:val="24"/>
          <w:szCs w:val="24"/>
        </w:rPr>
        <w:t xml:space="preserve"> It is a principle that stipulates the time that within which an aggrieved plaintiff or claimant (as the case may be) should approach the court and institute an action against the defendant. The principle operates in such a way that larches and acquiescence are the</w:t>
      </w:r>
      <w:r w:rsidR="00A729D3">
        <w:rPr>
          <w:rFonts w:ascii="Times New Roman" w:hAnsi="Times New Roman" w:cs="Times New Roman"/>
          <w:sz w:val="24"/>
          <w:szCs w:val="24"/>
        </w:rPr>
        <w:t xml:space="preserve"> end</w:t>
      </w:r>
      <w:r w:rsidRPr="0013150B">
        <w:rPr>
          <w:rFonts w:ascii="Times New Roman" w:hAnsi="Times New Roman" w:cs="Times New Roman"/>
          <w:sz w:val="24"/>
          <w:szCs w:val="24"/>
        </w:rPr>
        <w:t xml:space="preserve"> results should the plaintiff or claimant fails to institute action until the expiration of the expected, limited or prescribed period. In this circumstance, such plaintiff or claimant would be said to have slept over his or her right. Even though the cause of action is still intact, it thus becomes unenforceable on the account of undue delay culminating into larches and acquiescence.</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In Islamic jurisprudence, the provision for the principle of Murur Az-Zaman is slightly different from what is obtainable under the received English common law which details or classifies actions and their respective periods of limitation.</w:t>
      </w:r>
      <w:r w:rsidRPr="0013150B">
        <w:rPr>
          <w:rStyle w:val="FootnoteReference"/>
          <w:rFonts w:ascii="Times New Roman" w:hAnsi="Times New Roman" w:cs="Times New Roman"/>
          <w:sz w:val="24"/>
          <w:szCs w:val="24"/>
        </w:rPr>
        <w:footnoteReference w:id="27"/>
      </w:r>
      <w:r w:rsidRPr="0013150B">
        <w:rPr>
          <w:rFonts w:ascii="Times New Roman" w:hAnsi="Times New Roman" w:cs="Times New Roman"/>
          <w:sz w:val="24"/>
          <w:szCs w:val="24"/>
        </w:rPr>
        <w:t xml:space="preserve"> Shari’ah thus adopts a careful approach as understood from the Hadith of </w:t>
      </w:r>
      <w:r w:rsidR="00A729D3" w:rsidRPr="0013150B">
        <w:rPr>
          <w:rFonts w:ascii="Times New Roman" w:hAnsi="Times New Roman" w:cs="Times New Roman"/>
          <w:sz w:val="24"/>
          <w:szCs w:val="24"/>
        </w:rPr>
        <w:t xml:space="preserve">Prophet </w:t>
      </w:r>
      <w:r w:rsidRPr="0013150B">
        <w:rPr>
          <w:rFonts w:ascii="Times New Roman" w:hAnsi="Times New Roman" w:cs="Times New Roman"/>
          <w:sz w:val="24"/>
          <w:szCs w:val="24"/>
        </w:rPr>
        <w:t>Muhammad (PBUH) which provides to the effect that anyone who possesses a particular property for ten (10) years, therefore, owns it.</w:t>
      </w:r>
      <w:r w:rsidRPr="0013150B">
        <w:rPr>
          <w:rStyle w:val="FootnoteReference"/>
          <w:rFonts w:ascii="Times New Roman" w:hAnsi="Times New Roman" w:cs="Times New Roman"/>
          <w:sz w:val="24"/>
          <w:szCs w:val="24"/>
        </w:rPr>
        <w:footnoteReference w:id="28"/>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foregoing Hadith is the basis of the formulation of the principle of Murur Az-Zaman. On this note, Islamic scholars have propounded the principle of Murur Az-Zaman differently. For instance, according to the followers of Maliki Madhhab, relying on the Hadith of the prophet above, they stipulated Murur Az-Zaman to be ten (10) years except in a situation whereby the aggrieved parties are related by blood or affinity.</w:t>
      </w:r>
      <w:r w:rsidRPr="0013150B">
        <w:rPr>
          <w:rStyle w:val="FootnoteReference"/>
          <w:rFonts w:ascii="Times New Roman" w:hAnsi="Times New Roman" w:cs="Times New Roman"/>
          <w:sz w:val="24"/>
          <w:szCs w:val="24"/>
        </w:rPr>
        <w:footnoteReference w:id="29"/>
      </w:r>
      <w:r w:rsidRPr="0013150B">
        <w:rPr>
          <w:rFonts w:ascii="Times New Roman" w:hAnsi="Times New Roman" w:cs="Times New Roman"/>
          <w:sz w:val="24"/>
          <w:szCs w:val="24"/>
        </w:rPr>
        <w:t xml:space="preserve"> According to them, disputes between parties who are related by blood or affinity have a stipulated Murur Az-Zaman to be fifty (50) years.</w:t>
      </w:r>
      <w:r w:rsidRPr="0013150B">
        <w:rPr>
          <w:rStyle w:val="FootnoteReference"/>
          <w:rFonts w:ascii="Times New Roman" w:hAnsi="Times New Roman" w:cs="Times New Roman"/>
          <w:sz w:val="24"/>
          <w:szCs w:val="24"/>
        </w:rPr>
        <w:footnoteReference w:id="30"/>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In the same token, Imam Maliki himself holds the view that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xml:space="preserve"> has no fixed period but largely depends on the ‘Urf (custom) and ‘</w:t>
      </w:r>
      <w:r w:rsidRPr="0013150B">
        <w:rPr>
          <w:rFonts w:ascii="Times New Roman" w:hAnsi="Times New Roman" w:cs="Times New Roman"/>
          <w:iCs/>
          <w:sz w:val="24"/>
          <w:szCs w:val="24"/>
        </w:rPr>
        <w:t xml:space="preserve">Adaat </w:t>
      </w:r>
      <w:r w:rsidRPr="0013150B">
        <w:rPr>
          <w:rFonts w:ascii="Times New Roman" w:hAnsi="Times New Roman" w:cs="Times New Roman"/>
          <w:sz w:val="24"/>
          <w:szCs w:val="24"/>
        </w:rPr>
        <w:t>(usage) of a given locality.</w:t>
      </w:r>
      <w:r w:rsidRPr="0013150B">
        <w:rPr>
          <w:rStyle w:val="FootnoteReference"/>
          <w:rFonts w:ascii="Times New Roman" w:hAnsi="Times New Roman" w:cs="Times New Roman"/>
          <w:sz w:val="24"/>
          <w:szCs w:val="24"/>
        </w:rPr>
        <w:footnoteReference w:id="31"/>
      </w:r>
      <w:r w:rsidRPr="0013150B">
        <w:rPr>
          <w:rFonts w:ascii="Times New Roman" w:hAnsi="Times New Roman" w:cs="Times New Roman"/>
          <w:sz w:val="24"/>
          <w:szCs w:val="24"/>
        </w:rPr>
        <w:t xml:space="preserve"> The position of Imam Maliki subscribed to a reasonable time principle with ‘Urf (custom) and ‘</w:t>
      </w:r>
      <w:r w:rsidRPr="0013150B">
        <w:rPr>
          <w:rFonts w:ascii="Times New Roman" w:hAnsi="Times New Roman" w:cs="Times New Roman"/>
          <w:iCs/>
          <w:sz w:val="24"/>
          <w:szCs w:val="24"/>
        </w:rPr>
        <w:t>Adaat</w:t>
      </w:r>
      <w:r w:rsidRPr="0013150B">
        <w:rPr>
          <w:rFonts w:ascii="Times New Roman" w:hAnsi="Times New Roman" w:cs="Times New Roman"/>
          <w:sz w:val="24"/>
          <w:szCs w:val="24"/>
        </w:rPr>
        <w:t xml:space="preserve"> (usage) as determinant factors. Whichever the case, the principle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xml:space="preserve"> is a known principle to Islamic jurisprudence and enjoys application in Islamic courts upon satisfaction of certain conditions which include:</w:t>
      </w:r>
      <w:r w:rsidRPr="0013150B">
        <w:rPr>
          <w:rStyle w:val="FootnoteReference"/>
          <w:rFonts w:ascii="Times New Roman" w:hAnsi="Times New Roman" w:cs="Times New Roman"/>
          <w:sz w:val="24"/>
          <w:szCs w:val="24"/>
        </w:rPr>
        <w:footnoteReference w:id="32"/>
      </w:r>
    </w:p>
    <w:p w:rsidR="00666944" w:rsidRPr="0013150B" w:rsidRDefault="00666944" w:rsidP="00A74B33">
      <w:pPr>
        <w:pStyle w:val="ListParagraph"/>
        <w:numPr>
          <w:ilvl w:val="0"/>
          <w:numId w:val="12"/>
        </w:numPr>
        <w:spacing w:line="240" w:lineRule="auto"/>
        <w:jc w:val="both"/>
        <w:rPr>
          <w:rFonts w:ascii="Times New Roman" w:hAnsi="Times New Roman"/>
          <w:sz w:val="24"/>
          <w:szCs w:val="24"/>
        </w:rPr>
      </w:pPr>
      <w:r w:rsidRPr="0013150B">
        <w:rPr>
          <w:rFonts w:ascii="Times New Roman" w:hAnsi="Times New Roman"/>
          <w:sz w:val="24"/>
          <w:szCs w:val="24"/>
        </w:rPr>
        <w:lastRenderedPageBreak/>
        <w:t>the plaintiff or the claimant at the time of the cause of action has capacity to institute the action;</w:t>
      </w:r>
    </w:p>
    <w:p w:rsidR="00666944" w:rsidRPr="0013150B" w:rsidRDefault="00666944" w:rsidP="00A74B33">
      <w:pPr>
        <w:pStyle w:val="ListParagraph"/>
        <w:numPr>
          <w:ilvl w:val="0"/>
          <w:numId w:val="12"/>
        </w:numPr>
        <w:spacing w:line="240" w:lineRule="auto"/>
        <w:jc w:val="both"/>
        <w:rPr>
          <w:rFonts w:ascii="Times New Roman" w:hAnsi="Times New Roman"/>
          <w:sz w:val="24"/>
          <w:szCs w:val="24"/>
        </w:rPr>
      </w:pPr>
      <w:r w:rsidRPr="0013150B">
        <w:rPr>
          <w:rFonts w:ascii="Times New Roman" w:hAnsi="Times New Roman"/>
          <w:sz w:val="24"/>
          <w:szCs w:val="24"/>
        </w:rPr>
        <w:t xml:space="preserve">the plaintiff or the claimant has every opportunity to institute the action to seek redress but chose not to do so; and </w:t>
      </w:r>
    </w:p>
    <w:p w:rsidR="00666944" w:rsidRPr="0013150B" w:rsidRDefault="00666944" w:rsidP="00A74B33">
      <w:pPr>
        <w:pStyle w:val="ListParagraph"/>
        <w:numPr>
          <w:ilvl w:val="0"/>
          <w:numId w:val="12"/>
        </w:numPr>
        <w:spacing w:line="240" w:lineRule="auto"/>
        <w:jc w:val="both"/>
        <w:rPr>
          <w:rFonts w:ascii="Times New Roman" w:hAnsi="Times New Roman"/>
          <w:sz w:val="24"/>
          <w:szCs w:val="24"/>
        </w:rPr>
      </w:pPr>
      <w:r w:rsidRPr="0013150B">
        <w:rPr>
          <w:rFonts w:ascii="Times New Roman" w:hAnsi="Times New Roman"/>
          <w:sz w:val="24"/>
          <w:szCs w:val="24"/>
        </w:rPr>
        <w:t>the plaintiff or the claimant is aware of the usurpation over his or her right throughout the limited period.</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Thus, proof of the above conditions cumulatively can only avail the defendant with the application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xml:space="preserve"> in a given case. The rationale for the formulation of the principle is to limit the number of disputes and cases among Muslim Ummah after the lapse of time and also to inculcate the culture of accepting one’s fate in any ugly circumstance. The principle is generally applicable to all Islamic civil matters pending before any Islamic court concerning the prevalent right of man (</w:t>
      </w:r>
      <w:r w:rsidRPr="0013150B">
        <w:rPr>
          <w:rFonts w:ascii="Times New Roman" w:hAnsi="Times New Roman" w:cs="Times New Roman"/>
          <w:iCs/>
          <w:sz w:val="24"/>
          <w:szCs w:val="24"/>
        </w:rPr>
        <w:t>Haqqunnas</w:t>
      </w:r>
      <w:r w:rsidRPr="0013150B">
        <w:rPr>
          <w:rFonts w:ascii="Times New Roman" w:hAnsi="Times New Roman" w:cs="Times New Roman"/>
          <w:sz w:val="24"/>
          <w:szCs w:val="24"/>
        </w:rPr>
        <w:t>).</w:t>
      </w:r>
      <w:r w:rsidRPr="0013150B">
        <w:rPr>
          <w:rStyle w:val="FootnoteReference"/>
          <w:rFonts w:ascii="Times New Roman" w:hAnsi="Times New Roman" w:cs="Times New Roman"/>
          <w:sz w:val="24"/>
          <w:szCs w:val="24"/>
        </w:rPr>
        <w:footnoteReference w:id="33"/>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purport of the foregoing is to showcase that</w:t>
      </w:r>
      <w:r w:rsidR="00A729D3">
        <w:rPr>
          <w:rFonts w:ascii="Times New Roman" w:hAnsi="Times New Roman" w:cs="Times New Roman"/>
          <w:sz w:val="24"/>
          <w:szCs w:val="24"/>
        </w:rPr>
        <w:t xml:space="preserve"> the</w:t>
      </w:r>
      <w:r w:rsidRPr="0013150B">
        <w:rPr>
          <w:rFonts w:ascii="Times New Roman" w:hAnsi="Times New Roman" w:cs="Times New Roman"/>
          <w:sz w:val="24"/>
          <w:szCs w:val="24"/>
        </w:rPr>
        <w:t xml:space="preserve"> principle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xml:space="preserve"> is an applicable principle in Islamic civil cases and can be validl</w:t>
      </w:r>
      <w:r w:rsidR="00A729D3">
        <w:rPr>
          <w:rFonts w:ascii="Times New Roman" w:hAnsi="Times New Roman" w:cs="Times New Roman"/>
          <w:sz w:val="24"/>
          <w:szCs w:val="24"/>
        </w:rPr>
        <w:t>y raised by the defendant in</w:t>
      </w:r>
      <w:r w:rsidRPr="0013150B">
        <w:rPr>
          <w:rFonts w:ascii="Times New Roman" w:hAnsi="Times New Roman" w:cs="Times New Roman"/>
          <w:sz w:val="24"/>
          <w:szCs w:val="24"/>
        </w:rPr>
        <w:t xml:space="preserve"> deserving situation</w:t>
      </w:r>
      <w:r w:rsidR="00A729D3">
        <w:rPr>
          <w:rFonts w:ascii="Times New Roman" w:hAnsi="Times New Roman" w:cs="Times New Roman"/>
          <w:sz w:val="24"/>
          <w:szCs w:val="24"/>
        </w:rPr>
        <w:t>s</w:t>
      </w:r>
      <w:r w:rsidRPr="0013150B">
        <w:rPr>
          <w:rFonts w:ascii="Times New Roman" w:hAnsi="Times New Roman" w:cs="Times New Roman"/>
          <w:sz w:val="24"/>
          <w:szCs w:val="24"/>
        </w:rPr>
        <w:t>. In Islamic jurisprudence, the limitation of action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is ten (10) years after which the case or the cause of action becomes statute-barred or unenforceable before Islamic courts. By the official position of Maliki Madhhab, credence is also given to blood or affinity such that any dispute between parties who are related by blood or affinity has an extended period of limitation of action of fifty (50) years.</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being a branch of Islamic civil matters, have experienced several attempts at the application of the principle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 xml:space="preserve"> in Islamic courts in Nigeria.</w:t>
      </w:r>
      <w:r w:rsidRPr="0013150B">
        <w:rPr>
          <w:rStyle w:val="FootnoteReference"/>
          <w:rFonts w:ascii="Times New Roman" w:hAnsi="Times New Roman" w:cs="Times New Roman"/>
          <w:sz w:val="24"/>
          <w:szCs w:val="24"/>
        </w:rPr>
        <w:footnoteReference w:id="34"/>
      </w:r>
      <w:r w:rsidRPr="0013150B">
        <w:rPr>
          <w:rFonts w:ascii="Times New Roman" w:hAnsi="Times New Roman" w:cs="Times New Roman"/>
          <w:sz w:val="24"/>
          <w:szCs w:val="24"/>
        </w:rPr>
        <w:t xml:space="preserve"> This is brought to the fore by some statements of prophet Muhammad (PBUH) discouraging delay in dealing with issues relating to succession or distribution estate of deceased Muslims.</w:t>
      </w:r>
      <w:r w:rsidRPr="0013150B">
        <w:rPr>
          <w:rStyle w:val="FootnoteReference"/>
          <w:rFonts w:ascii="Times New Roman" w:hAnsi="Times New Roman" w:cs="Times New Roman"/>
          <w:sz w:val="24"/>
          <w:szCs w:val="24"/>
        </w:rPr>
        <w:footnoteReference w:id="35"/>
      </w:r>
    </w:p>
    <w:p w:rsidR="00666944" w:rsidRPr="0013150B" w:rsidRDefault="00666944" w:rsidP="00666944">
      <w:pPr>
        <w:spacing w:line="360" w:lineRule="auto"/>
        <w:jc w:val="both"/>
        <w:rPr>
          <w:rFonts w:ascii="Times New Roman" w:hAnsi="Times New Roman" w:cs="Times New Roman"/>
          <w:b/>
          <w:sz w:val="24"/>
          <w:szCs w:val="24"/>
        </w:rPr>
      </w:pPr>
      <w:r w:rsidRPr="0013150B">
        <w:rPr>
          <w:rFonts w:ascii="Times New Roman" w:hAnsi="Times New Roman" w:cs="Times New Roman"/>
          <w:b/>
          <w:sz w:val="24"/>
          <w:szCs w:val="24"/>
        </w:rPr>
        <w:t>5. Al-Faraa’id Cases as Sui Generis under Shari’ah</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As discussed earlier,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are cases brought to Islamic courts for adjudication on disputes arising from succession or distribution of inheritance or estate of deceased Muslims. In other words, </w:t>
      </w:r>
      <w:r w:rsidRPr="0013150B">
        <w:rPr>
          <w:rFonts w:ascii="Times New Roman" w:hAnsi="Times New Roman" w:cs="Times New Roman"/>
          <w:iCs/>
          <w:sz w:val="24"/>
          <w:szCs w:val="24"/>
        </w:rPr>
        <w:t xml:space="preserve">Al-Faraa’id </w:t>
      </w:r>
      <w:r w:rsidRPr="0013150B">
        <w:rPr>
          <w:rFonts w:ascii="Times New Roman" w:hAnsi="Times New Roman" w:cs="Times New Roman"/>
          <w:sz w:val="24"/>
          <w:szCs w:val="24"/>
        </w:rPr>
        <w:t xml:space="preserve">cases refer to litigations emanating from issues bothering the distribution of the estate of deceased Muslims. It can also be explained as litigations in Islamic courts the subject matters of which are the issues of deceased Muslims’ estate distribution. The position of Islamic jurisprudence perceives </w:t>
      </w:r>
      <w:r w:rsidRPr="0013150B">
        <w:rPr>
          <w:rFonts w:ascii="Times New Roman" w:hAnsi="Times New Roman" w:cs="Times New Roman"/>
          <w:iCs/>
          <w:sz w:val="24"/>
          <w:szCs w:val="24"/>
        </w:rPr>
        <w:t>Al-Fara’id</w:t>
      </w:r>
      <w:r w:rsidRPr="0013150B">
        <w:rPr>
          <w:rFonts w:ascii="Times New Roman" w:hAnsi="Times New Roman" w:cs="Times New Roman"/>
          <w:sz w:val="24"/>
          <w:szCs w:val="24"/>
        </w:rPr>
        <w:t xml:space="preserve"> cases as Sui Generis, especially concerning the application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lastRenderedPageBreak/>
        <w:t>Sui Generis is a foreign Latin word that means suits or cases in the classes of their own.</w:t>
      </w:r>
      <w:r w:rsidRPr="0013150B">
        <w:rPr>
          <w:rStyle w:val="FootnoteReference"/>
          <w:rFonts w:ascii="Times New Roman" w:hAnsi="Times New Roman" w:cs="Times New Roman"/>
          <w:sz w:val="24"/>
          <w:szCs w:val="24"/>
        </w:rPr>
        <w:footnoteReference w:id="36"/>
      </w:r>
      <w:r w:rsidRPr="0013150B">
        <w:rPr>
          <w:rFonts w:ascii="Times New Roman" w:hAnsi="Times New Roman" w:cs="Times New Roman"/>
          <w:sz w:val="24"/>
          <w:szCs w:val="24"/>
        </w:rPr>
        <w:t xml:space="preserve"> Referring to a particular case as Sui </w:t>
      </w:r>
      <w:r w:rsidR="003E4CE8" w:rsidRPr="0013150B">
        <w:rPr>
          <w:rFonts w:ascii="Times New Roman" w:hAnsi="Times New Roman" w:cs="Times New Roman"/>
          <w:sz w:val="24"/>
          <w:szCs w:val="24"/>
        </w:rPr>
        <w:t xml:space="preserve">Generis </w:t>
      </w:r>
      <w:r w:rsidRPr="0013150B">
        <w:rPr>
          <w:rFonts w:ascii="Times New Roman" w:hAnsi="Times New Roman" w:cs="Times New Roman"/>
          <w:sz w:val="24"/>
          <w:szCs w:val="24"/>
        </w:rPr>
        <w:t xml:space="preserve">implies that such a case is not to be treated traditionally like other similar cases due to its peculiarity. In the context of this research, it is not gainsaid that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are parts of Islamic civil matters which are ordinarily or traditionally affected by the application of the principle of </w:t>
      </w:r>
      <w:r w:rsidRPr="0013150B">
        <w:rPr>
          <w:rFonts w:ascii="Times New Roman" w:hAnsi="Times New Roman" w:cs="Times New Roman"/>
          <w:iCs/>
          <w:sz w:val="24"/>
          <w:szCs w:val="24"/>
        </w:rPr>
        <w:t xml:space="preserve">Murur Az-Zaman </w:t>
      </w:r>
      <w:r w:rsidRPr="0013150B">
        <w:rPr>
          <w:rFonts w:ascii="Times New Roman" w:hAnsi="Times New Roman" w:cs="Times New Roman"/>
          <w:sz w:val="24"/>
          <w:szCs w:val="24"/>
        </w:rPr>
        <w:t xml:space="preserve">in appropriate situation. However, Shari’ah jurisprudence vis-à-vis the application of the principle of </w:t>
      </w:r>
      <w:r w:rsidRPr="0013150B">
        <w:rPr>
          <w:rFonts w:ascii="Times New Roman" w:hAnsi="Times New Roman" w:cs="Times New Roman"/>
          <w:iCs/>
          <w:sz w:val="24"/>
          <w:szCs w:val="24"/>
        </w:rPr>
        <w:t xml:space="preserve">Murur Az-Zaman </w:t>
      </w:r>
      <w:r w:rsidRPr="0013150B">
        <w:rPr>
          <w:rFonts w:ascii="Times New Roman" w:hAnsi="Times New Roman" w:cs="Times New Roman"/>
          <w:sz w:val="24"/>
          <w:szCs w:val="24"/>
        </w:rPr>
        <w:t xml:space="preserve">in Islamic civil matters places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as Sui Generis. The reason is that the application of the principle of </w:t>
      </w:r>
      <w:r w:rsidRPr="0013150B">
        <w:rPr>
          <w:rFonts w:ascii="Times New Roman" w:hAnsi="Times New Roman" w:cs="Times New Roman"/>
          <w:iCs/>
          <w:sz w:val="24"/>
          <w:szCs w:val="24"/>
        </w:rPr>
        <w:t>Murur</w:t>
      </w:r>
      <w:r w:rsidR="00597E2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enjoys exception when it comes to Islamic civil litigation bothering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w:t>
      </w:r>
      <w:r w:rsidRPr="0013150B">
        <w:rPr>
          <w:rStyle w:val="FootnoteReference"/>
          <w:rFonts w:ascii="Times New Roman" w:hAnsi="Times New Roman" w:cs="Times New Roman"/>
          <w:sz w:val="24"/>
          <w:szCs w:val="24"/>
        </w:rPr>
        <w:footnoteReference w:id="37"/>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Notwithstanding the foregoing, Islamic courts in Nigeria have experienced cases in which defendants have raised the issue of limitation of action in Islamic civil matters bothering</w:t>
      </w:r>
      <w:r w:rsidR="003E4CE8">
        <w:rPr>
          <w:rFonts w:ascii="Times New Roman" w:hAnsi="Times New Roman" w:cs="Times New Roman"/>
          <w:sz w:val="24"/>
          <w:szCs w:val="24"/>
        </w:rPr>
        <w:t xml:space="preserve"> on</w:t>
      </w:r>
      <w:r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The experience was caused as a result of the misapplication of the Prophetic Hadith which is to the effect that the distribution of the estate of deceased Muslims should not be delayed.</w:t>
      </w:r>
      <w:r w:rsidRPr="0013150B">
        <w:rPr>
          <w:rStyle w:val="FootnoteReference"/>
          <w:rFonts w:ascii="Times New Roman" w:hAnsi="Times New Roman" w:cs="Times New Roman"/>
          <w:sz w:val="24"/>
          <w:szCs w:val="24"/>
        </w:rPr>
        <w:footnoteReference w:id="38"/>
      </w:r>
      <w:r w:rsidRPr="0013150B">
        <w:rPr>
          <w:rFonts w:ascii="Times New Roman" w:hAnsi="Times New Roman" w:cs="Times New Roman"/>
          <w:sz w:val="24"/>
          <w:szCs w:val="24"/>
        </w:rPr>
        <w:t xml:space="preserve"> Little wonder some legal practitioners have wrongly argued that undue delay in the sharing of the estate of a deceased Muslim automatically calls for the application of the principle of </w:t>
      </w:r>
      <w:r w:rsidRPr="0013150B">
        <w:rPr>
          <w:rFonts w:ascii="Times New Roman" w:hAnsi="Times New Roman" w:cs="Times New Roman"/>
          <w:iCs/>
          <w:sz w:val="24"/>
          <w:szCs w:val="24"/>
        </w:rPr>
        <w:t>Murur Az-Zaman</w:t>
      </w:r>
      <w:r w:rsidRPr="0013150B">
        <w:rPr>
          <w:rFonts w:ascii="Times New Roman" w:hAnsi="Times New Roman" w:cs="Times New Roman"/>
          <w:sz w:val="24"/>
          <w:szCs w:val="24"/>
        </w:rPr>
        <w:t>.</w:t>
      </w:r>
      <w:r w:rsidRPr="0013150B">
        <w:rPr>
          <w:rStyle w:val="FootnoteReference"/>
          <w:rFonts w:ascii="Times New Roman" w:hAnsi="Times New Roman" w:cs="Times New Roman"/>
          <w:sz w:val="24"/>
          <w:szCs w:val="24"/>
        </w:rPr>
        <w:footnoteReference w:id="39"/>
      </w:r>
      <w:r w:rsidRPr="0013150B">
        <w:rPr>
          <w:rFonts w:ascii="Times New Roman" w:hAnsi="Times New Roman" w:cs="Times New Roman"/>
          <w:sz w:val="24"/>
          <w:szCs w:val="24"/>
        </w:rPr>
        <w:t xml:space="preserve"> The trite position however in Islamic jurisprudence is that </w:t>
      </w:r>
      <w:r w:rsidR="00921554">
        <w:rPr>
          <w:rFonts w:ascii="Times New Roman" w:hAnsi="Times New Roman" w:cs="Times New Roman"/>
          <w:sz w:val="24"/>
          <w:szCs w:val="24"/>
        </w:rPr>
        <w:t xml:space="preserve">the </w:t>
      </w:r>
      <w:r w:rsidRPr="0013150B">
        <w:rPr>
          <w:rFonts w:ascii="Times New Roman" w:hAnsi="Times New Roman" w:cs="Times New Roman"/>
          <w:sz w:val="24"/>
          <w:szCs w:val="24"/>
        </w:rPr>
        <w:t>issue of distribution of the estate of deceased Muslims emanates from the</w:t>
      </w:r>
      <w:r w:rsidR="00921554">
        <w:rPr>
          <w:rFonts w:ascii="Times New Roman" w:hAnsi="Times New Roman" w:cs="Times New Roman"/>
          <w:sz w:val="24"/>
          <w:szCs w:val="24"/>
        </w:rPr>
        <w:t xml:space="preserve"> </w:t>
      </w:r>
      <w:r w:rsidRPr="0013150B">
        <w:rPr>
          <w:rFonts w:ascii="Times New Roman" w:hAnsi="Times New Roman" w:cs="Times New Roman"/>
          <w:sz w:val="24"/>
          <w:szCs w:val="24"/>
        </w:rPr>
        <w:t>binding commandment of Allah failure of which attracts unpleasant consequences.</w:t>
      </w:r>
      <w:r w:rsidRPr="0013150B">
        <w:rPr>
          <w:rStyle w:val="FootnoteReference"/>
          <w:rFonts w:ascii="Times New Roman" w:hAnsi="Times New Roman" w:cs="Times New Roman"/>
          <w:sz w:val="24"/>
          <w:szCs w:val="24"/>
        </w:rPr>
        <w:footnoteReference w:id="40"/>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In the understanding of the theory of HaqquLlah (right of Allah) vis-à-vis Haqqunnas (right of mankind), the proponents of the application of </w:t>
      </w:r>
      <w:r w:rsidRPr="0013150B">
        <w:rPr>
          <w:rFonts w:ascii="Times New Roman" w:hAnsi="Times New Roman" w:cs="Times New Roman"/>
          <w:iCs/>
          <w:sz w:val="24"/>
          <w:szCs w:val="24"/>
        </w:rPr>
        <w:t xml:space="preserve">Murur Az-Zaman </w:t>
      </w:r>
      <w:r w:rsidRPr="0013150B">
        <w:rPr>
          <w:rFonts w:ascii="Times New Roman" w:hAnsi="Times New Roman" w:cs="Times New Roman"/>
          <w:sz w:val="24"/>
          <w:szCs w:val="24"/>
        </w:rPr>
        <w:t xml:space="preserve">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believe that Haqqunnas in waivable. The reason is that they perceive the distribution of</w:t>
      </w:r>
      <w:r w:rsidR="00B86E21"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the estate of a deceased Muslim amongst his or her legal heirs as absolute rights of the inheritors which can be deemed waivable due to long and inordinate delay if not shared or attended to within reasonable time. The proponents of the application of </w:t>
      </w:r>
      <w:r w:rsidRPr="0013150B">
        <w:rPr>
          <w:rFonts w:ascii="Times New Roman" w:hAnsi="Times New Roman" w:cs="Times New Roman"/>
          <w:iCs/>
          <w:sz w:val="24"/>
          <w:szCs w:val="24"/>
        </w:rPr>
        <w:t>Murur</w:t>
      </w:r>
      <w:r w:rsidR="00B86E21"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w:t>
      </w:r>
      <w:r w:rsidR="00B86E21" w:rsidRPr="0013150B">
        <w:rPr>
          <w:rFonts w:ascii="Times New Roman" w:hAnsi="Times New Roman" w:cs="Times New Roman"/>
          <w:sz w:val="24"/>
          <w:szCs w:val="24"/>
        </w:rPr>
        <w:t xml:space="preserve"> </w:t>
      </w:r>
      <w:r w:rsidRPr="0013150B">
        <w:rPr>
          <w:rFonts w:ascii="Times New Roman" w:hAnsi="Times New Roman" w:cs="Times New Roman"/>
          <w:sz w:val="24"/>
          <w:szCs w:val="24"/>
        </w:rPr>
        <w:t>however failed to advert their mind to the inherent absolute right of Allah embedded in the command to his servants towards the distribution of the deceased estate in compliance with the injunction contained in the Holy Qur’an.</w:t>
      </w:r>
      <w:r w:rsidRPr="0013150B">
        <w:rPr>
          <w:rStyle w:val="FootnoteReference"/>
          <w:rFonts w:ascii="Times New Roman" w:hAnsi="Times New Roman" w:cs="Times New Roman"/>
          <w:sz w:val="24"/>
          <w:szCs w:val="24"/>
        </w:rPr>
        <w:footnoteReference w:id="41"/>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In fact, from the Islamic theory of property ownership, it is laid down or understood that there is no absolute</w:t>
      </w:r>
      <w:r w:rsidR="00164A69">
        <w:rPr>
          <w:rFonts w:ascii="Times New Roman" w:hAnsi="Times New Roman" w:cs="Times New Roman"/>
          <w:sz w:val="24"/>
          <w:szCs w:val="24"/>
        </w:rPr>
        <w:t xml:space="preserve"> ownership</w:t>
      </w:r>
      <w:r w:rsidRPr="0013150B">
        <w:rPr>
          <w:rFonts w:ascii="Times New Roman" w:hAnsi="Times New Roman" w:cs="Times New Roman"/>
          <w:sz w:val="24"/>
          <w:szCs w:val="24"/>
        </w:rPr>
        <w:t xml:space="preserve"> </w:t>
      </w:r>
      <w:r w:rsidR="00921554">
        <w:rPr>
          <w:rFonts w:ascii="Times New Roman" w:hAnsi="Times New Roman" w:cs="Times New Roman"/>
          <w:sz w:val="24"/>
          <w:szCs w:val="24"/>
        </w:rPr>
        <w:t xml:space="preserve">right </w:t>
      </w:r>
      <w:r w:rsidRPr="0013150B">
        <w:rPr>
          <w:rFonts w:ascii="Times New Roman" w:hAnsi="Times New Roman" w:cs="Times New Roman"/>
          <w:sz w:val="24"/>
          <w:szCs w:val="24"/>
        </w:rPr>
        <w:t xml:space="preserve">for any mankind as </w:t>
      </w:r>
      <w:r w:rsidRPr="0013150B">
        <w:rPr>
          <w:rFonts w:ascii="Times New Roman" w:hAnsi="Times New Roman" w:cs="Times New Roman"/>
          <w:sz w:val="24"/>
          <w:szCs w:val="24"/>
        </w:rPr>
        <w:lastRenderedPageBreak/>
        <w:t>perm</w:t>
      </w:r>
      <w:r w:rsidR="00921554">
        <w:rPr>
          <w:rFonts w:ascii="Times New Roman" w:hAnsi="Times New Roman" w:cs="Times New Roman"/>
          <w:sz w:val="24"/>
          <w:szCs w:val="24"/>
        </w:rPr>
        <w:t>itted in other</w:t>
      </w:r>
      <w:r w:rsidRPr="0013150B">
        <w:rPr>
          <w:rFonts w:ascii="Times New Roman" w:hAnsi="Times New Roman" w:cs="Times New Roman"/>
          <w:sz w:val="24"/>
          <w:szCs w:val="24"/>
        </w:rPr>
        <w:t xml:space="preserve"> legal system</w:t>
      </w:r>
      <w:r w:rsidR="00921554">
        <w:rPr>
          <w:rFonts w:ascii="Times New Roman" w:hAnsi="Times New Roman" w:cs="Times New Roman"/>
          <w:sz w:val="24"/>
          <w:szCs w:val="24"/>
        </w:rPr>
        <w:t>s</w:t>
      </w:r>
      <w:r w:rsidRPr="0013150B">
        <w:rPr>
          <w:rFonts w:ascii="Times New Roman" w:hAnsi="Times New Roman" w:cs="Times New Roman"/>
          <w:sz w:val="24"/>
          <w:szCs w:val="24"/>
        </w:rPr>
        <w:t>.</w:t>
      </w:r>
      <w:r w:rsidRPr="0013150B">
        <w:rPr>
          <w:rStyle w:val="FootnoteReference"/>
          <w:rFonts w:ascii="Times New Roman" w:hAnsi="Times New Roman" w:cs="Times New Roman"/>
          <w:sz w:val="24"/>
          <w:szCs w:val="24"/>
        </w:rPr>
        <w:footnoteReference w:id="42"/>
      </w:r>
      <w:r w:rsidR="00164A69">
        <w:rPr>
          <w:rFonts w:ascii="Times New Roman" w:hAnsi="Times New Roman" w:cs="Times New Roman"/>
          <w:sz w:val="24"/>
          <w:szCs w:val="24"/>
        </w:rPr>
        <w:t xml:space="preserve"> </w:t>
      </w:r>
      <w:r w:rsidRPr="0013150B">
        <w:rPr>
          <w:rFonts w:ascii="Times New Roman" w:hAnsi="Times New Roman" w:cs="Times New Roman"/>
          <w:sz w:val="24"/>
          <w:szCs w:val="24"/>
        </w:rPr>
        <w:t>Shari’ah legal system thus subjects all ownership to the overriding right of Allah over all properties.</w:t>
      </w:r>
      <w:r w:rsidRPr="0013150B">
        <w:rPr>
          <w:rStyle w:val="FootnoteReference"/>
          <w:rFonts w:ascii="Times New Roman" w:hAnsi="Times New Roman" w:cs="Times New Roman"/>
          <w:sz w:val="24"/>
          <w:szCs w:val="24"/>
        </w:rPr>
        <w:footnoteReference w:id="43"/>
      </w:r>
      <w:r w:rsidR="007F3293">
        <w:rPr>
          <w:rFonts w:ascii="Times New Roman" w:hAnsi="Times New Roman" w:cs="Times New Roman"/>
          <w:sz w:val="24"/>
          <w:szCs w:val="24"/>
        </w:rPr>
        <w:t xml:space="preserve"> </w:t>
      </w:r>
      <w:r w:rsidRPr="0013150B">
        <w:rPr>
          <w:rFonts w:ascii="Times New Roman" w:hAnsi="Times New Roman" w:cs="Times New Roman"/>
          <w:sz w:val="24"/>
          <w:szCs w:val="24"/>
        </w:rPr>
        <w:t xml:space="preserve">A practical example of the foregoing is showcased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in which Allah determines what beholds the properties of Muslims after their demises.</w:t>
      </w:r>
      <w:r w:rsidRPr="0013150B">
        <w:rPr>
          <w:rStyle w:val="FootnoteReference"/>
          <w:rFonts w:ascii="Times New Roman" w:hAnsi="Times New Roman" w:cs="Times New Roman"/>
          <w:sz w:val="24"/>
          <w:szCs w:val="24"/>
        </w:rPr>
        <w:footnoteReference w:id="44"/>
      </w:r>
      <w:r w:rsidRPr="0013150B">
        <w:rPr>
          <w:rFonts w:ascii="Times New Roman" w:hAnsi="Times New Roman" w:cs="Times New Roman"/>
          <w:sz w:val="24"/>
          <w:szCs w:val="24"/>
        </w:rPr>
        <w:t xml:space="preserve"> This is to demonstrate the fact that even if the right of man (Haqqunnas) embedded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can be said to be waivable, the overlapping right of Allah (HaqquLlah) in the same subject matter can never be waived under any guise or circumstance. Little wonder the right of Allah (HaqquLlah) inherent in</w:t>
      </w:r>
      <w:r w:rsidR="00B86E21"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continues to serve as a clog to the application of </w:t>
      </w:r>
      <w:r w:rsidRPr="0013150B">
        <w:rPr>
          <w:rFonts w:ascii="Times New Roman" w:hAnsi="Times New Roman" w:cs="Times New Roman"/>
          <w:iCs/>
          <w:sz w:val="24"/>
          <w:szCs w:val="24"/>
        </w:rPr>
        <w:t>Murur</w:t>
      </w:r>
      <w:r w:rsidR="00B86E21"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such cases.</w:t>
      </w:r>
    </w:p>
    <w:p w:rsidR="00666944" w:rsidRPr="0013150B" w:rsidRDefault="00666944" w:rsidP="00666944">
      <w:pPr>
        <w:spacing w:line="360" w:lineRule="auto"/>
        <w:jc w:val="both"/>
        <w:rPr>
          <w:rFonts w:ascii="Times New Roman" w:hAnsi="Times New Roman" w:cs="Times New Roman"/>
          <w:b/>
          <w:sz w:val="24"/>
          <w:szCs w:val="24"/>
        </w:rPr>
      </w:pPr>
      <w:r w:rsidRPr="0013150B">
        <w:rPr>
          <w:rFonts w:ascii="Times New Roman" w:hAnsi="Times New Roman" w:cs="Times New Roman"/>
          <w:b/>
          <w:sz w:val="24"/>
          <w:szCs w:val="24"/>
        </w:rPr>
        <w:t xml:space="preserve">6. Position of </w:t>
      </w:r>
      <w:r w:rsidR="00B86E21" w:rsidRPr="0013150B">
        <w:rPr>
          <w:rFonts w:ascii="Times New Roman" w:hAnsi="Times New Roman" w:cs="Times New Roman"/>
          <w:b/>
          <w:sz w:val="24"/>
          <w:szCs w:val="24"/>
        </w:rPr>
        <w:t xml:space="preserve">Islamic Courts </w:t>
      </w:r>
      <w:r w:rsidRPr="0013150B">
        <w:rPr>
          <w:rFonts w:ascii="Times New Roman" w:hAnsi="Times New Roman" w:cs="Times New Roman"/>
          <w:b/>
          <w:sz w:val="24"/>
          <w:szCs w:val="24"/>
        </w:rPr>
        <w:t>in Nigeria</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tripartite nature of the Nigerian legal system paves way for the establishment of three main categories of courts such as English courts, Islamic courts, and customary courts with a recognized hierarchical system.</w:t>
      </w:r>
      <w:r w:rsidRPr="0013150B">
        <w:rPr>
          <w:rStyle w:val="FootnoteReference"/>
          <w:rFonts w:ascii="Times New Roman" w:hAnsi="Times New Roman" w:cs="Times New Roman"/>
          <w:sz w:val="24"/>
          <w:szCs w:val="24"/>
        </w:rPr>
        <w:footnoteReference w:id="45"/>
      </w:r>
      <w:r w:rsidRPr="0013150B">
        <w:rPr>
          <w:rFonts w:ascii="Times New Roman" w:hAnsi="Times New Roman" w:cs="Times New Roman"/>
          <w:sz w:val="24"/>
          <w:szCs w:val="24"/>
        </w:rPr>
        <w:t xml:space="preserve"> The fulcrum of this paper revolves around Islamic courts in Nigeria. It is imperative to make a</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certain point clear that Islamic courts are usually established in the Northern parts of the country with constitutional backing.</w:t>
      </w:r>
      <w:r w:rsidRPr="0013150B">
        <w:rPr>
          <w:rStyle w:val="FootnoteReference"/>
          <w:rFonts w:ascii="Times New Roman" w:hAnsi="Times New Roman" w:cs="Times New Roman"/>
          <w:sz w:val="24"/>
          <w:szCs w:val="24"/>
        </w:rPr>
        <w:footnoteReference w:id="46"/>
      </w:r>
      <w:r w:rsidRPr="0013150B">
        <w:rPr>
          <w:rFonts w:ascii="Times New Roman" w:hAnsi="Times New Roman" w:cs="Times New Roman"/>
          <w:sz w:val="24"/>
          <w:szCs w:val="24"/>
        </w:rPr>
        <w:t xml:space="preserve"> This is owing to the enormous population of Muslims in the northern part of the country as against what is obtainable in the Southern part in which Muslims of this region do not enjoy the constitutional benefit of having their cases (especially those pertaining to Islamic personal matters) determined Islamically.</w:t>
      </w:r>
      <w:r w:rsidRPr="0013150B">
        <w:rPr>
          <w:rStyle w:val="FootnoteReference"/>
          <w:rFonts w:ascii="Times New Roman" w:hAnsi="Times New Roman" w:cs="Times New Roman"/>
          <w:sz w:val="24"/>
          <w:szCs w:val="24"/>
        </w:rPr>
        <w:footnoteReference w:id="47"/>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Famous categories of Islamic courts in Nigeria, therefore, include the Shari’ah Court of Appeal, Upper Area Court, Area Court, etc. regardless of the differences in the names called, the aforementioned courts are commonly referred to as Islamic courts clothed with vires and jurisdiction to adjudicate on Islamic civil matters of which the subject of this study is among.</w:t>
      </w:r>
      <w:r w:rsidRPr="0013150B">
        <w:rPr>
          <w:rStyle w:val="FootnoteReference"/>
          <w:rFonts w:ascii="Times New Roman" w:hAnsi="Times New Roman" w:cs="Times New Roman"/>
          <w:sz w:val="24"/>
          <w:szCs w:val="24"/>
        </w:rPr>
        <w:footnoteReference w:id="48"/>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position of Islamic courts concerning</w:t>
      </w:r>
      <w:r w:rsidR="00271D95"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does not deviate from the clear understanding of Islamic jurisprudence. Their position is </w:t>
      </w:r>
      <w:r w:rsidRPr="0013150B">
        <w:rPr>
          <w:rFonts w:ascii="Times New Roman" w:hAnsi="Times New Roman" w:cs="Times New Roman"/>
          <w:sz w:val="24"/>
          <w:szCs w:val="24"/>
        </w:rPr>
        <w:lastRenderedPageBreak/>
        <w:t>informed by Maqasid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Shari’ah (Objectives of Islamic law), especially on the subject matter of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w:t>
      </w:r>
      <w:r w:rsidRPr="0013150B">
        <w:rPr>
          <w:rStyle w:val="FootnoteReference"/>
          <w:rFonts w:ascii="Times New Roman" w:hAnsi="Times New Roman" w:cs="Times New Roman"/>
          <w:sz w:val="24"/>
          <w:szCs w:val="24"/>
        </w:rPr>
        <w:footnoteReference w:id="49"/>
      </w:r>
      <w:r w:rsidRPr="0013150B">
        <w:rPr>
          <w:rFonts w:ascii="Times New Roman" w:hAnsi="Times New Roman" w:cs="Times New Roman"/>
          <w:sz w:val="24"/>
          <w:szCs w:val="24"/>
        </w:rPr>
        <w:t xml:space="preserve"> Thus, Islamic courts have over time created an exception to the general application of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w:t>
      </w:r>
      <w:r w:rsidRPr="0013150B">
        <w:rPr>
          <w:rStyle w:val="FootnoteReference"/>
          <w:rFonts w:ascii="Times New Roman" w:hAnsi="Times New Roman" w:cs="Times New Roman"/>
          <w:sz w:val="24"/>
          <w:szCs w:val="24"/>
        </w:rPr>
        <w:footnoteReference w:id="50"/>
      </w:r>
      <w:r w:rsidRPr="0013150B">
        <w:rPr>
          <w:rFonts w:ascii="Times New Roman" w:hAnsi="Times New Roman" w:cs="Times New Roman"/>
          <w:sz w:val="24"/>
          <w:szCs w:val="24"/>
        </w:rPr>
        <w:t xml:space="preserve"> The purpose of creating the exception is not to defeat the Maqasid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Shari’ah (Objectives of Islamic law) in the circumstance.</w:t>
      </w:r>
      <w:r w:rsidRPr="0013150B">
        <w:rPr>
          <w:rStyle w:val="FootnoteReference"/>
          <w:rFonts w:ascii="Times New Roman" w:hAnsi="Times New Roman" w:cs="Times New Roman"/>
          <w:sz w:val="24"/>
          <w:szCs w:val="24"/>
        </w:rPr>
        <w:footnoteReference w:id="51"/>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It must be noted first and foremost that the implication of delay in estate distribution among the legal heirs after the demise of a deceased Muslim is not palatable.</w:t>
      </w:r>
      <w:r w:rsidRPr="0013150B">
        <w:rPr>
          <w:rStyle w:val="FootnoteReference"/>
          <w:rFonts w:ascii="Times New Roman" w:hAnsi="Times New Roman" w:cs="Times New Roman"/>
          <w:sz w:val="24"/>
          <w:szCs w:val="24"/>
        </w:rPr>
        <w:footnoteReference w:id="52"/>
      </w:r>
      <w:r w:rsidRPr="0013150B">
        <w:rPr>
          <w:rFonts w:ascii="Times New Roman" w:hAnsi="Times New Roman" w:cs="Times New Roman"/>
          <w:sz w:val="24"/>
          <w:szCs w:val="24"/>
        </w:rPr>
        <w:t xml:space="preserve"> This is owing to the clear understanding of the prophetic admonition that a believer’s soul remains in suspense until his debts are paid off.’</w:t>
      </w:r>
      <w:r w:rsidRPr="0013150B">
        <w:rPr>
          <w:rStyle w:val="FootnoteReference"/>
          <w:rFonts w:ascii="Times New Roman" w:hAnsi="Times New Roman" w:cs="Times New Roman"/>
          <w:sz w:val="24"/>
          <w:szCs w:val="24"/>
        </w:rPr>
        <w:footnoteReference w:id="53"/>
      </w:r>
      <w:r w:rsidRPr="0013150B">
        <w:rPr>
          <w:rFonts w:ascii="Times New Roman" w:hAnsi="Times New Roman" w:cs="Times New Roman"/>
          <w:sz w:val="24"/>
          <w:szCs w:val="24"/>
        </w:rPr>
        <w:t xml:space="preserve"> Technically, the non-distribution of the estate of a deceased Muslim after his or</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her demise is a kind of debt that affects him or her negatively until appropriately distributed as dictated by Shari’ah. </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From the above, it is beyond doubt that Islamic jurisprudence places great emphasis on the quick and timeous distribution of a deceased estate among his or her legal heirs after the demise. The foregoing does not however close the door of estate distribution as a result of inordinate delay in doing so. The misconception that clouded the minds of those who advocate for the application of the principle of</w:t>
      </w:r>
      <w:r w:rsidR="00271D95"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in Nigeria is </w:t>
      </w:r>
      <w:r w:rsidR="007F3293">
        <w:rPr>
          <w:rFonts w:ascii="Times New Roman" w:hAnsi="Times New Roman" w:cs="Times New Roman"/>
          <w:sz w:val="24"/>
          <w:szCs w:val="24"/>
        </w:rPr>
        <w:t xml:space="preserve">as </w:t>
      </w:r>
      <w:r w:rsidRPr="0013150B">
        <w:rPr>
          <w:rFonts w:ascii="Times New Roman" w:hAnsi="Times New Roman" w:cs="Times New Roman"/>
          <w:sz w:val="24"/>
          <w:szCs w:val="24"/>
        </w:rPr>
        <w:t xml:space="preserve">a result of </w:t>
      </w:r>
      <w:r w:rsidR="0071278A">
        <w:rPr>
          <w:rFonts w:ascii="Times New Roman" w:hAnsi="Times New Roman" w:cs="Times New Roman"/>
          <w:sz w:val="24"/>
          <w:szCs w:val="24"/>
        </w:rPr>
        <w:t xml:space="preserve">the </w:t>
      </w:r>
      <w:r w:rsidRPr="0013150B">
        <w:rPr>
          <w:rFonts w:ascii="Times New Roman" w:hAnsi="Times New Roman" w:cs="Times New Roman"/>
          <w:sz w:val="24"/>
          <w:szCs w:val="24"/>
        </w:rPr>
        <w:t>common law mentality, orientation, and background which are anathema to Maqasid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Shari’ah as far as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are concerned. Little wonder objections have been filed in Islamic courts for striking out of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matters on the ground of undue delay, the lapse of time as well as larches and acquiescence forgetting that distribution of the estate is within the right of Allah (</w:t>
      </w:r>
      <w:r w:rsidRPr="0013150B">
        <w:rPr>
          <w:rFonts w:ascii="Times New Roman" w:hAnsi="Times New Roman" w:cs="Times New Roman"/>
          <w:iCs/>
          <w:sz w:val="24"/>
          <w:szCs w:val="24"/>
        </w:rPr>
        <w:t>HaqquLlah</w:t>
      </w:r>
      <w:r w:rsidRPr="0013150B">
        <w:rPr>
          <w:rFonts w:ascii="Times New Roman" w:hAnsi="Times New Roman" w:cs="Times New Roman"/>
          <w:sz w:val="24"/>
          <w:szCs w:val="24"/>
        </w:rPr>
        <w:t>) that is not waivable</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no matter the circumstance and the delay.</w:t>
      </w:r>
      <w:r w:rsidRPr="0013150B">
        <w:rPr>
          <w:rStyle w:val="FootnoteReference"/>
          <w:rFonts w:ascii="Times New Roman" w:hAnsi="Times New Roman" w:cs="Times New Roman"/>
          <w:sz w:val="24"/>
          <w:szCs w:val="24"/>
        </w:rPr>
        <w:footnoteReference w:id="54"/>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Therefore, to</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ascertain the position of Islamic courts in Nigeria regarding the application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 review of the case of </w:t>
      </w:r>
      <w:r w:rsidRPr="0013150B">
        <w:rPr>
          <w:rFonts w:ascii="Times New Roman" w:hAnsi="Times New Roman" w:cs="Times New Roman"/>
          <w:i/>
          <w:sz w:val="24"/>
          <w:szCs w:val="24"/>
        </w:rPr>
        <w:t>Iya</w:t>
      </w:r>
      <w:r w:rsidR="00271D95" w:rsidRPr="0013150B">
        <w:rPr>
          <w:rFonts w:ascii="Times New Roman" w:hAnsi="Times New Roman" w:cs="Times New Roman"/>
          <w:i/>
          <w:sz w:val="24"/>
          <w:szCs w:val="24"/>
        </w:rPr>
        <w:t xml:space="preserve"> </w:t>
      </w:r>
      <w:r w:rsidR="004B216B">
        <w:rPr>
          <w:rFonts w:ascii="Times New Roman" w:hAnsi="Times New Roman" w:cs="Times New Roman"/>
          <w:i/>
          <w:sz w:val="24"/>
          <w:szCs w:val="24"/>
        </w:rPr>
        <w:t>Maiwana v</w:t>
      </w:r>
      <w:r w:rsidRPr="0013150B">
        <w:rPr>
          <w:rFonts w:ascii="Times New Roman" w:hAnsi="Times New Roman" w:cs="Times New Roman"/>
          <w:i/>
          <w:sz w:val="24"/>
          <w:szCs w:val="24"/>
        </w:rPr>
        <w:t>. Mamman Captain</w:t>
      </w:r>
      <w:r w:rsidRPr="0013150B">
        <w:rPr>
          <w:rStyle w:val="FootnoteReference"/>
          <w:rFonts w:ascii="Times New Roman" w:hAnsi="Times New Roman" w:cs="Times New Roman"/>
          <w:sz w:val="24"/>
          <w:szCs w:val="24"/>
        </w:rPr>
        <w:footnoteReference w:id="55"/>
      </w:r>
      <w:r w:rsidRPr="0013150B">
        <w:rPr>
          <w:rFonts w:ascii="Times New Roman" w:hAnsi="Times New Roman" w:cs="Times New Roman"/>
          <w:sz w:val="24"/>
          <w:szCs w:val="24"/>
        </w:rPr>
        <w:t xml:space="preserve"> becomes expedient. The facts of the case were that brothers and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sisters dragged themselves to Islamic court after the demise of their father, Adamu</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Dahiru who died on the 9</w:t>
      </w:r>
      <w:r w:rsidRPr="0013150B">
        <w:rPr>
          <w:rFonts w:ascii="Times New Roman" w:hAnsi="Times New Roman" w:cs="Times New Roman"/>
          <w:sz w:val="24"/>
          <w:szCs w:val="24"/>
          <w:vertAlign w:val="superscript"/>
        </w:rPr>
        <w:t>th</w:t>
      </w:r>
      <w:r w:rsidR="0071278A">
        <w:rPr>
          <w:rFonts w:ascii="Times New Roman" w:hAnsi="Times New Roman" w:cs="Times New Roman"/>
          <w:sz w:val="24"/>
          <w:szCs w:val="24"/>
          <w:vertAlign w:val="superscript"/>
        </w:rPr>
        <w:t xml:space="preserve"> </w:t>
      </w:r>
      <w:r w:rsidRPr="0013150B">
        <w:rPr>
          <w:rFonts w:ascii="Times New Roman" w:hAnsi="Times New Roman" w:cs="Times New Roman"/>
          <w:sz w:val="24"/>
          <w:szCs w:val="24"/>
        </w:rPr>
        <w:t xml:space="preserve">of July, 1932. Their father left behind four (4) houses and five (5) farms as legacies to be shared among his heirs. The Appellant being a sister was away for almost thirty (30) years as a result of marriage. The aforementioned legacies were left in the possession of Respondent i.e., the Appellant’s brother. The </w:t>
      </w:r>
      <w:r w:rsidRPr="0013150B">
        <w:rPr>
          <w:rFonts w:ascii="Times New Roman" w:hAnsi="Times New Roman" w:cs="Times New Roman"/>
          <w:sz w:val="24"/>
          <w:szCs w:val="24"/>
        </w:rPr>
        <w:lastRenderedPageBreak/>
        <w:t>Appellant came back after the span of thirty (30) and requested her share from the estate of their deceased father from the Respondent which the Respondent refused. At the trial court, the Qadi</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(Judge) held that:</w:t>
      </w:r>
    </w:p>
    <w:p w:rsidR="00666944" w:rsidRPr="00072539" w:rsidRDefault="00666944" w:rsidP="00BE1F55">
      <w:pPr>
        <w:spacing w:line="240" w:lineRule="auto"/>
        <w:ind w:left="1080" w:right="711"/>
        <w:jc w:val="both"/>
        <w:rPr>
          <w:rFonts w:ascii="Times New Roman" w:hAnsi="Times New Roman" w:cs="Times New Roman"/>
          <w:i/>
          <w:sz w:val="24"/>
          <w:szCs w:val="24"/>
        </w:rPr>
      </w:pPr>
      <w:r w:rsidRPr="00072539">
        <w:rPr>
          <w:rFonts w:ascii="Times New Roman" w:hAnsi="Times New Roman" w:cs="Times New Roman"/>
          <w:i/>
          <w:sz w:val="24"/>
          <w:szCs w:val="24"/>
        </w:rPr>
        <w:t>Because of the length of time that had elapsed i.e., 30 years from the date of the demise of the deceased father, the court could not review the matter….</w:t>
      </w:r>
      <w:r w:rsidRPr="00072539">
        <w:rPr>
          <w:rStyle w:val="FootnoteReference"/>
          <w:rFonts w:ascii="Times New Roman" w:hAnsi="Times New Roman" w:cs="Times New Roman"/>
          <w:i/>
          <w:sz w:val="24"/>
          <w:szCs w:val="24"/>
        </w:rPr>
        <w:footnoteReference w:id="56"/>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By implication, the trial court thus applied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to terminate the case. By the judgment of the trial court, the fate of the deceased father dependent on the distribution of his estate was further compounded and left in abeyance against the prophetic admonition that the soul of a deceased Muslim would continue to be in suspense until all his debts paid off including all matters relating to his estate distribution. The decision of the</w:t>
      </w:r>
      <w:r w:rsidR="0071278A">
        <w:rPr>
          <w:rFonts w:ascii="Times New Roman" w:hAnsi="Times New Roman" w:cs="Times New Roman"/>
          <w:sz w:val="24"/>
          <w:szCs w:val="24"/>
        </w:rPr>
        <w:t xml:space="preserve"> trial</w:t>
      </w:r>
      <w:r w:rsidRPr="0013150B">
        <w:rPr>
          <w:rFonts w:ascii="Times New Roman" w:hAnsi="Times New Roman" w:cs="Times New Roman"/>
          <w:sz w:val="24"/>
          <w:szCs w:val="24"/>
        </w:rPr>
        <w:t xml:space="preserve"> court thus runs afoul of Maqasid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Shari’ah in the circumstance.</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On further appeal to the appellate court i.e., the Shari’ah court of appeal, the decision was therefore upturned by the justices of the Shari’ah Court of Appeal when they succinctly held that:</w:t>
      </w:r>
    </w:p>
    <w:p w:rsidR="00666944" w:rsidRPr="00BE1F55" w:rsidRDefault="00666944" w:rsidP="00BE1F55">
      <w:pPr>
        <w:spacing w:line="240" w:lineRule="auto"/>
        <w:ind w:left="1080" w:right="711"/>
        <w:jc w:val="both"/>
        <w:rPr>
          <w:rFonts w:ascii="Times New Roman" w:hAnsi="Times New Roman" w:cs="Times New Roman"/>
          <w:i/>
          <w:sz w:val="24"/>
          <w:szCs w:val="24"/>
        </w:rPr>
      </w:pPr>
      <w:r w:rsidRPr="00BE1F55">
        <w:rPr>
          <w:rFonts w:ascii="Times New Roman" w:hAnsi="Times New Roman" w:cs="Times New Roman"/>
          <w:i/>
          <w:sz w:val="24"/>
          <w:szCs w:val="24"/>
        </w:rPr>
        <w:t>When property connected with inheritance has been held by some of the heirs, the complaint of a woman or other heirs will always be heard. The length of time elapsed notwithstanding.</w:t>
      </w:r>
      <w:r w:rsidRPr="00BE1F55">
        <w:rPr>
          <w:rStyle w:val="FootnoteReference"/>
          <w:rFonts w:ascii="Times New Roman" w:hAnsi="Times New Roman" w:cs="Times New Roman"/>
          <w:i/>
          <w:sz w:val="24"/>
          <w:szCs w:val="24"/>
        </w:rPr>
        <w:footnoteReference w:id="57"/>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The Shari’ah Court of Appeal, therefore, set out the position and attitude of Islamic courts towards</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the application of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The position is that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are exceptional cases to the general application of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Invariably,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which is sometimes referred to as the statute of limitation or expiration of time does not apply to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w:t>
      </w:r>
      <w:r w:rsidRPr="0013150B">
        <w:rPr>
          <w:rStyle w:val="FootnoteReference"/>
          <w:rFonts w:ascii="Times New Roman" w:hAnsi="Times New Roman" w:cs="Times New Roman"/>
          <w:sz w:val="24"/>
          <w:szCs w:val="24"/>
        </w:rPr>
        <w:footnoteReference w:id="58"/>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It is important to note that Islamic courts in Nigeria follow the position of Maliki Madhhab as guidance for most of their rulings</w:t>
      </w:r>
      <w:r w:rsidRPr="0013150B">
        <w:rPr>
          <w:rStyle w:val="FootnoteReference"/>
          <w:rFonts w:ascii="Times New Roman" w:hAnsi="Times New Roman" w:cs="Times New Roman"/>
          <w:sz w:val="24"/>
          <w:szCs w:val="24"/>
        </w:rPr>
        <w:footnoteReference w:id="59"/>
      </w:r>
      <w:r w:rsidRPr="0013150B">
        <w:rPr>
          <w:rFonts w:ascii="Times New Roman" w:hAnsi="Times New Roman" w:cs="Times New Roman"/>
          <w:sz w:val="24"/>
          <w:szCs w:val="24"/>
        </w:rPr>
        <w:t xml:space="preserve"> and according to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00271D95" w:rsidRPr="0013150B">
        <w:rPr>
          <w:rFonts w:ascii="Times New Roman" w:hAnsi="Times New Roman" w:cs="Times New Roman"/>
          <w:iCs/>
          <w:sz w:val="24"/>
          <w:szCs w:val="24"/>
        </w:rPr>
        <w:t xml:space="preserve"> </w:t>
      </w:r>
      <w:r w:rsidRPr="0013150B">
        <w:rPr>
          <w:rFonts w:ascii="Times New Roman" w:hAnsi="Times New Roman" w:cs="Times New Roman"/>
          <w:sz w:val="24"/>
          <w:szCs w:val="24"/>
        </w:rPr>
        <w:t>as laid down by the Maliki Madhhab, the expiration of the time for cases between parties who are not related by blood or affinity is 10 (ten) years while for the parties that are related by blood or affinity, it is 50 (fifty) years.</w:t>
      </w:r>
      <w:r w:rsidRPr="0013150B">
        <w:rPr>
          <w:rStyle w:val="FootnoteReference"/>
          <w:rFonts w:ascii="Times New Roman" w:hAnsi="Times New Roman" w:cs="Times New Roman"/>
          <w:sz w:val="24"/>
          <w:szCs w:val="24"/>
        </w:rPr>
        <w:footnoteReference w:id="60"/>
      </w:r>
      <w:r w:rsidRPr="0013150B">
        <w:rPr>
          <w:rFonts w:ascii="Times New Roman" w:hAnsi="Times New Roman" w:cs="Times New Roman"/>
          <w:sz w:val="24"/>
          <w:szCs w:val="24"/>
        </w:rPr>
        <w:t xml:space="preserve"> A critical look at the case of </w:t>
      </w:r>
      <w:r w:rsidRPr="0013150B">
        <w:rPr>
          <w:rFonts w:ascii="Times New Roman" w:hAnsi="Times New Roman" w:cs="Times New Roman"/>
          <w:i/>
          <w:sz w:val="24"/>
          <w:szCs w:val="24"/>
        </w:rPr>
        <w:t>Iya</w:t>
      </w:r>
      <w:r w:rsidR="00271D95" w:rsidRPr="0013150B">
        <w:rPr>
          <w:rFonts w:ascii="Times New Roman" w:hAnsi="Times New Roman" w:cs="Times New Roman"/>
          <w:i/>
          <w:sz w:val="24"/>
          <w:szCs w:val="24"/>
        </w:rPr>
        <w:t xml:space="preserve"> </w:t>
      </w:r>
      <w:r w:rsidR="00417651">
        <w:rPr>
          <w:rFonts w:ascii="Times New Roman" w:hAnsi="Times New Roman" w:cs="Times New Roman"/>
          <w:i/>
          <w:sz w:val="24"/>
          <w:szCs w:val="24"/>
        </w:rPr>
        <w:t>Maiwana v.</w:t>
      </w:r>
      <w:r w:rsidRPr="0013150B">
        <w:rPr>
          <w:rFonts w:ascii="Times New Roman" w:hAnsi="Times New Roman" w:cs="Times New Roman"/>
          <w:i/>
          <w:sz w:val="24"/>
          <w:szCs w:val="24"/>
        </w:rPr>
        <w:t xml:space="preserve"> Mamman Captain</w:t>
      </w:r>
      <w:r w:rsidR="00271D95" w:rsidRPr="0013150B">
        <w:rPr>
          <w:rFonts w:ascii="Times New Roman" w:hAnsi="Times New Roman" w:cs="Times New Roman"/>
          <w:i/>
          <w:sz w:val="24"/>
          <w:szCs w:val="24"/>
        </w:rPr>
        <w:t xml:space="preserve"> </w:t>
      </w:r>
      <w:r w:rsidRPr="0013150B">
        <w:rPr>
          <w:rFonts w:ascii="Times New Roman" w:hAnsi="Times New Roman" w:cs="Times New Roman"/>
          <w:sz w:val="24"/>
          <w:szCs w:val="24"/>
        </w:rPr>
        <w:t xml:space="preserve">cited above vis-à-vis the disputing parties in the case </w:t>
      </w:r>
      <w:r w:rsidRPr="0013150B">
        <w:rPr>
          <w:rFonts w:ascii="Times New Roman" w:hAnsi="Times New Roman" w:cs="Times New Roman"/>
          <w:sz w:val="24"/>
          <w:szCs w:val="24"/>
        </w:rPr>
        <w:lastRenderedPageBreak/>
        <w:t>reveals that the parties, in that case, are of blood relation to which the fifty (50) years expiration of time rule would have ordinarily been applicable. But the Shari’ah Court of Appeal while determining the case never referred to the fact that the delay in bringing the action was still within fifty (50) years to affirm the position of the Appellant. The court simply held that the principle of</w:t>
      </w:r>
      <w:r w:rsidR="00271D95"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00271D95" w:rsidRPr="0013150B">
        <w:rPr>
          <w:rFonts w:ascii="Times New Roman" w:hAnsi="Times New Roman" w:cs="Times New Roman"/>
          <w:iCs/>
          <w:sz w:val="24"/>
          <w:szCs w:val="24"/>
        </w:rPr>
        <w:t xml:space="preserve"> </w:t>
      </w:r>
      <w:r w:rsidRPr="0013150B">
        <w:rPr>
          <w:rFonts w:ascii="Times New Roman" w:hAnsi="Times New Roman" w:cs="Times New Roman"/>
          <w:sz w:val="24"/>
          <w:szCs w:val="24"/>
        </w:rPr>
        <w:t xml:space="preserve">does not apply to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This thus makes the position of the Islamic courts in Nigeria clear. This is because the case could as well have been positively determined in favour</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of the aggrieved Appellant having been brought within 50 (fifty) years of rule of parties with blood or affinity relationship in line with Maliki Madhhab.</w:t>
      </w:r>
    </w:p>
    <w:p w:rsidR="00666944" w:rsidRPr="0013150B" w:rsidRDefault="00666944" w:rsidP="00666944">
      <w:pPr>
        <w:spacing w:line="360" w:lineRule="auto"/>
        <w:jc w:val="both"/>
        <w:rPr>
          <w:rFonts w:ascii="Times New Roman" w:hAnsi="Times New Roman" w:cs="Times New Roman"/>
          <w:b/>
          <w:sz w:val="24"/>
          <w:szCs w:val="24"/>
        </w:rPr>
      </w:pPr>
      <w:r w:rsidRPr="0013150B">
        <w:rPr>
          <w:rFonts w:ascii="Times New Roman" w:hAnsi="Times New Roman" w:cs="Times New Roman"/>
          <w:b/>
          <w:sz w:val="24"/>
          <w:szCs w:val="24"/>
        </w:rPr>
        <w:t>7. Conclusion and Recommendation</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The principle of </w:t>
      </w:r>
      <w:r w:rsidRPr="0013150B">
        <w:rPr>
          <w:rFonts w:ascii="Times New Roman" w:hAnsi="Times New Roman" w:cs="Times New Roman"/>
          <w:iCs/>
          <w:sz w:val="24"/>
          <w:szCs w:val="24"/>
        </w:rPr>
        <w:t>MururAz-Zaman</w:t>
      </w:r>
      <w:r w:rsidRPr="0013150B">
        <w:rPr>
          <w:rFonts w:ascii="Times New Roman" w:hAnsi="Times New Roman" w:cs="Times New Roman"/>
          <w:sz w:val="24"/>
          <w:szCs w:val="24"/>
        </w:rPr>
        <w:t xml:space="preserve"> which prevents a plaintiff from pursuing his cause of action as a result of undue and inordinate delay because of larches and acquiescence is validly applicable in Islamic civil cases. It is not disputed that the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 falls within the purview of Islamic civil matters to which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is ordinarily applicable. However, Shari’ah</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jurisprudence distinguishes</w:t>
      </w:r>
      <w:r w:rsidR="00271D95"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Al-Faraa’id</w:t>
      </w:r>
      <w:r w:rsidR="00271D95" w:rsidRPr="0013150B">
        <w:rPr>
          <w:rFonts w:ascii="Times New Roman" w:hAnsi="Times New Roman" w:cs="Times New Roman"/>
          <w:sz w:val="24"/>
          <w:szCs w:val="24"/>
        </w:rPr>
        <w:t xml:space="preserve"> cases as </w:t>
      </w:r>
      <w:r w:rsidR="00A14D5D" w:rsidRPr="0013150B">
        <w:rPr>
          <w:rFonts w:ascii="Times New Roman" w:hAnsi="Times New Roman" w:cs="Times New Roman"/>
          <w:sz w:val="24"/>
          <w:szCs w:val="24"/>
        </w:rPr>
        <w:t xml:space="preserve">Sui Generis </w:t>
      </w:r>
      <w:r w:rsidRPr="0013150B">
        <w:rPr>
          <w:rFonts w:ascii="Times New Roman" w:hAnsi="Times New Roman" w:cs="Times New Roman"/>
          <w:sz w:val="24"/>
          <w:szCs w:val="24"/>
        </w:rPr>
        <w:t>because they involved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the inherent rights of Allah which can never be waived. The misapplication of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to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is borne out of the misunderstanding of the Hadith of the Prophet which is to the effect that the distribution of the estate of a deceased Muslim should not be delayed. This is without having recourse to the Hadith that proclaims that the soul of a believer would continue to be in abeyance until issues surrounding his estate distribution are finally settled.</w:t>
      </w:r>
    </w:p>
    <w:p w:rsidR="00666944" w:rsidRPr="0013150B" w:rsidRDefault="00666944" w:rsidP="00A74B33">
      <w:pPr>
        <w:spacing w:line="240" w:lineRule="auto"/>
        <w:jc w:val="both"/>
        <w:rPr>
          <w:rFonts w:ascii="Times New Roman" w:hAnsi="Times New Roman" w:cs="Times New Roman"/>
          <w:sz w:val="24"/>
          <w:szCs w:val="24"/>
        </w:rPr>
      </w:pPr>
      <w:r w:rsidRPr="0013150B">
        <w:rPr>
          <w:rFonts w:ascii="Times New Roman" w:hAnsi="Times New Roman" w:cs="Times New Roman"/>
          <w:sz w:val="24"/>
          <w:szCs w:val="24"/>
        </w:rPr>
        <w:t xml:space="preserve">It is discovered that the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 encapsulates both rights of Allah and the right of mankind. However, the embedded right of Allah which is not waivable accounts for the status of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as </w:t>
      </w:r>
      <w:r w:rsidR="00A14D5D" w:rsidRPr="0013150B">
        <w:rPr>
          <w:rFonts w:ascii="Times New Roman" w:hAnsi="Times New Roman" w:cs="Times New Roman"/>
          <w:sz w:val="24"/>
          <w:szCs w:val="24"/>
        </w:rPr>
        <w:t xml:space="preserve">Sui Generis </w:t>
      </w:r>
      <w:r w:rsidRPr="0013150B">
        <w:rPr>
          <w:rFonts w:ascii="Times New Roman" w:hAnsi="Times New Roman" w:cs="Times New Roman"/>
          <w:sz w:val="24"/>
          <w:szCs w:val="24"/>
        </w:rPr>
        <w:t xml:space="preserve">which also shapes the position of Islamic courts in Nigeria regarding the applicability of the principle of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xml:space="preserve"> in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Hence, with the final decision of the court in </w:t>
      </w:r>
      <w:r w:rsidRPr="0013150B">
        <w:rPr>
          <w:rFonts w:ascii="Times New Roman" w:hAnsi="Times New Roman" w:cs="Times New Roman"/>
          <w:i/>
          <w:sz w:val="24"/>
          <w:szCs w:val="24"/>
        </w:rPr>
        <w:t>Iya</w:t>
      </w:r>
      <w:r w:rsidR="00271D95" w:rsidRPr="0013150B">
        <w:rPr>
          <w:rFonts w:ascii="Times New Roman" w:hAnsi="Times New Roman" w:cs="Times New Roman"/>
          <w:i/>
          <w:sz w:val="24"/>
          <w:szCs w:val="24"/>
        </w:rPr>
        <w:t xml:space="preserve"> </w:t>
      </w:r>
      <w:r w:rsidR="00417651">
        <w:rPr>
          <w:rFonts w:ascii="Times New Roman" w:hAnsi="Times New Roman" w:cs="Times New Roman"/>
          <w:i/>
          <w:sz w:val="24"/>
          <w:szCs w:val="24"/>
        </w:rPr>
        <w:t>Maiwana v</w:t>
      </w:r>
      <w:r w:rsidRPr="0013150B">
        <w:rPr>
          <w:rFonts w:ascii="Times New Roman" w:hAnsi="Times New Roman" w:cs="Times New Roman"/>
          <w:i/>
          <w:sz w:val="24"/>
          <w:szCs w:val="24"/>
        </w:rPr>
        <w:t>. Mamman Captain</w:t>
      </w:r>
      <w:r w:rsidRPr="0013150B">
        <w:rPr>
          <w:rFonts w:ascii="Times New Roman" w:hAnsi="Times New Roman" w:cs="Times New Roman"/>
          <w:sz w:val="24"/>
          <w:szCs w:val="24"/>
        </w:rPr>
        <w:t xml:space="preserve"> by the Shari’ah</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court of appeal, the position of Islamic courts in Nigeria is ascertained that </w:t>
      </w:r>
      <w:r w:rsidRPr="0013150B">
        <w:rPr>
          <w:rFonts w:ascii="Times New Roman" w:hAnsi="Times New Roman" w:cs="Times New Roman"/>
          <w:iCs/>
          <w:sz w:val="24"/>
          <w:szCs w:val="24"/>
        </w:rPr>
        <w:t>Al-Faraa’id</w:t>
      </w:r>
      <w:r w:rsidRPr="0013150B">
        <w:rPr>
          <w:rFonts w:ascii="Times New Roman" w:hAnsi="Times New Roman" w:cs="Times New Roman"/>
          <w:sz w:val="24"/>
          <w:szCs w:val="24"/>
        </w:rPr>
        <w:t xml:space="preserve"> cases constitute an exception to the application </w:t>
      </w:r>
      <w:r w:rsidRPr="0013150B">
        <w:rPr>
          <w:rFonts w:ascii="Times New Roman" w:hAnsi="Times New Roman" w:cs="Times New Roman"/>
          <w:iCs/>
          <w:sz w:val="24"/>
          <w:szCs w:val="24"/>
        </w:rPr>
        <w:t>Murur</w:t>
      </w:r>
      <w:r w:rsidR="00271D95" w:rsidRPr="0013150B">
        <w:rPr>
          <w:rFonts w:ascii="Times New Roman" w:hAnsi="Times New Roman" w:cs="Times New Roman"/>
          <w:iCs/>
          <w:sz w:val="24"/>
          <w:szCs w:val="24"/>
        </w:rPr>
        <w:t xml:space="preserve"> </w:t>
      </w:r>
      <w:r w:rsidRPr="0013150B">
        <w:rPr>
          <w:rFonts w:ascii="Times New Roman" w:hAnsi="Times New Roman" w:cs="Times New Roman"/>
          <w:iCs/>
          <w:sz w:val="24"/>
          <w:szCs w:val="24"/>
        </w:rPr>
        <w:t>Az-Zaman</w:t>
      </w:r>
      <w:r w:rsidRPr="0013150B">
        <w:rPr>
          <w:rFonts w:ascii="Times New Roman" w:hAnsi="Times New Roman" w:cs="Times New Roman"/>
          <w:sz w:val="24"/>
          <w:szCs w:val="24"/>
        </w:rPr>
        <w:t>. Thus, it is suggested that Islamic court</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should continue to maintain their ascertained position. In the same vein, those whose cases/claims</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have suffered undue delay by one reason or the other should henceforth be bold enough to litigate such</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cases/claims in Islamic courts</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to get/reclaim their inheritance unjustly held by wicked-hearted</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 xml:space="preserve">people and at the same time, assisting the </w:t>
      </w:r>
      <w:r w:rsidR="00A14D5D">
        <w:rPr>
          <w:rFonts w:ascii="Times New Roman" w:hAnsi="Times New Roman" w:cs="Times New Roman"/>
          <w:sz w:val="24"/>
          <w:szCs w:val="24"/>
        </w:rPr>
        <w:t>fate</w:t>
      </w:r>
      <w:r w:rsidRPr="0013150B">
        <w:rPr>
          <w:rFonts w:ascii="Times New Roman" w:hAnsi="Times New Roman" w:cs="Times New Roman"/>
          <w:sz w:val="24"/>
          <w:szCs w:val="24"/>
        </w:rPr>
        <w:t xml:space="preserve"> of their beloved deceased that might have being in suspense as a result of the non-settlement/non-distribution of the inheritance.</w:t>
      </w:r>
      <w:r w:rsidR="00271D95" w:rsidRPr="0013150B">
        <w:rPr>
          <w:rFonts w:ascii="Times New Roman" w:hAnsi="Times New Roman" w:cs="Times New Roman"/>
          <w:sz w:val="24"/>
          <w:szCs w:val="24"/>
        </w:rPr>
        <w:t xml:space="preserve"> </w:t>
      </w:r>
      <w:r w:rsidRPr="0013150B">
        <w:rPr>
          <w:rFonts w:ascii="Times New Roman" w:hAnsi="Times New Roman" w:cs="Times New Roman"/>
          <w:sz w:val="24"/>
          <w:szCs w:val="24"/>
        </w:rPr>
        <w:t>It is high time Islamic courts began to sensitize the general public that despite any long delay concerning</w:t>
      </w:r>
      <w:r w:rsidR="00271D95" w:rsidRPr="0013150B">
        <w:rPr>
          <w:rFonts w:ascii="Times New Roman" w:hAnsi="Times New Roman" w:cs="Times New Roman"/>
          <w:sz w:val="24"/>
          <w:szCs w:val="24"/>
        </w:rPr>
        <w:t xml:space="preserve"> </w:t>
      </w:r>
      <w:r w:rsidRPr="0013150B">
        <w:rPr>
          <w:rFonts w:ascii="Times New Roman" w:hAnsi="Times New Roman" w:cs="Times New Roman"/>
          <w:iCs/>
          <w:sz w:val="24"/>
          <w:szCs w:val="24"/>
        </w:rPr>
        <w:t>Al-Faraa’id</w:t>
      </w:r>
      <w:r w:rsidR="00271D95" w:rsidRPr="0013150B">
        <w:rPr>
          <w:rFonts w:ascii="Times New Roman" w:hAnsi="Times New Roman" w:cs="Times New Roman"/>
          <w:iCs/>
          <w:sz w:val="24"/>
          <w:szCs w:val="24"/>
        </w:rPr>
        <w:t xml:space="preserve"> </w:t>
      </w:r>
      <w:r w:rsidRPr="0013150B">
        <w:rPr>
          <w:rFonts w:ascii="Times New Roman" w:hAnsi="Times New Roman" w:cs="Times New Roman"/>
          <w:sz w:val="24"/>
          <w:szCs w:val="24"/>
        </w:rPr>
        <w:t xml:space="preserve">cases, Islamic courts are ready to entertain their cases.  </w:t>
      </w:r>
    </w:p>
    <w:p w:rsidR="00666944" w:rsidRPr="0013150B" w:rsidRDefault="00666944" w:rsidP="00666944">
      <w:pPr>
        <w:spacing w:line="240" w:lineRule="auto"/>
        <w:jc w:val="both"/>
        <w:rPr>
          <w:rFonts w:ascii="Times New Roman" w:hAnsi="Times New Roman" w:cs="Times New Roman"/>
          <w:sz w:val="24"/>
          <w:szCs w:val="24"/>
        </w:rPr>
      </w:pPr>
    </w:p>
    <w:p w:rsidR="00666944" w:rsidRPr="0013150B" w:rsidRDefault="00666944" w:rsidP="00666944">
      <w:pPr>
        <w:spacing w:line="360" w:lineRule="auto"/>
        <w:jc w:val="both"/>
        <w:rPr>
          <w:rFonts w:ascii="Times New Roman" w:hAnsi="Times New Roman" w:cs="Times New Roman"/>
          <w:sz w:val="24"/>
          <w:szCs w:val="24"/>
        </w:rPr>
      </w:pPr>
    </w:p>
    <w:p w:rsidR="00920968" w:rsidRPr="0013150B" w:rsidRDefault="00920968" w:rsidP="00920968">
      <w:pPr>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p w:rsidR="00294C26" w:rsidRPr="0013150B" w:rsidRDefault="00294C26" w:rsidP="00294C26">
      <w:pPr>
        <w:pStyle w:val="NoSpacing"/>
        <w:rPr>
          <w:rFonts w:ascii="Times New Roman" w:hAnsi="Times New Roman" w:cs="Times New Roman"/>
        </w:rPr>
      </w:pPr>
    </w:p>
    <w:sectPr w:rsidR="00294C26" w:rsidRPr="0013150B" w:rsidSect="00F519E5">
      <w:headerReference w:type="even" r:id="rId10"/>
      <w:headerReference w:type="default" r:id="rId11"/>
      <w:footerReference w:type="even" r:id="rId12"/>
      <w:footerReference w:type="default" r:id="rId13"/>
      <w:headerReference w:type="first" r:id="rId14"/>
      <w:pgSz w:w="10440" w:h="15120" w:code="7"/>
      <w:pgMar w:top="1440" w:right="1226" w:bottom="1440" w:left="1843" w:header="708"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ED493E" w:rsidRDefault="00ED493E" w:rsidP="005C6C06">
      <w:pPr>
        <w:spacing w:after="0" w:line="240" w:lineRule="auto"/>
      </w:pPr>
      <w:r>
        <w:separator/>
      </w:r>
    </w:p>
  </w:endnote>
  <w:endnote w:type="continuationSeparator" w:id="0">
    <w:p w:rsidR="00ED493E" w:rsidRDefault="00ED493E" w:rsidP="005C6C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notTrueType/>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utiger LT Std 45 Light">
    <w:altName w:val="Calibri"/>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5000" w:type="pct"/>
      <w:tblCellMar>
        <w:top w:w="72" w:type="dxa"/>
        <w:left w:w="115" w:type="dxa"/>
        <w:bottom w:w="72" w:type="dxa"/>
        <w:right w:w="115" w:type="dxa"/>
      </w:tblCellMar>
      <w:tblLook w:val="04A0" w:firstRow="1" w:lastRow="0" w:firstColumn="1" w:lastColumn="0" w:noHBand="0" w:noVBand="1"/>
    </w:tblPr>
    <w:tblGrid>
      <w:gridCol w:w="737"/>
      <w:gridCol w:w="6634"/>
    </w:tblGrid>
    <w:tr w:rsidR="003503F5">
      <w:tc>
        <w:tcPr>
          <w:tcW w:w="500" w:type="pct"/>
          <w:tcBorders>
            <w:top w:val="single" w:sz="4" w:space="0" w:color="943634" w:themeColor="accent2" w:themeShade="BF"/>
          </w:tcBorders>
          <w:shd w:val="clear" w:color="auto" w:fill="943634" w:themeFill="accent2" w:themeFillShade="BF"/>
        </w:tcPr>
        <w:p w:rsidR="003503F5" w:rsidRPr="00E83FAA" w:rsidRDefault="00141552">
          <w:pPr>
            <w:pStyle w:val="Footer"/>
            <w:jc w:val="right"/>
            <w:rPr>
              <w:b/>
              <w:color w:val="FFFFFF" w:themeColor="background1"/>
              <w:sz w:val="20"/>
              <w:szCs w:val="20"/>
            </w:rPr>
          </w:pPr>
          <w:r w:rsidRPr="00E83FAA">
            <w:rPr>
              <w:sz w:val="20"/>
              <w:szCs w:val="20"/>
            </w:rPr>
            <w:fldChar w:fldCharType="begin"/>
          </w:r>
          <w:r w:rsidR="003503F5" w:rsidRPr="00E83FAA">
            <w:rPr>
              <w:sz w:val="20"/>
              <w:szCs w:val="20"/>
            </w:rPr>
            <w:instrText xml:space="preserve"> PAGE   \* MERGEFORMAT </w:instrText>
          </w:r>
          <w:r w:rsidRPr="00E83FAA">
            <w:rPr>
              <w:sz w:val="20"/>
              <w:szCs w:val="20"/>
            </w:rPr>
            <w:fldChar w:fldCharType="separate"/>
          </w:r>
          <w:r w:rsidR="00C02523" w:rsidRPr="00C02523">
            <w:rPr>
              <w:noProof/>
              <w:color w:val="FFFFFF" w:themeColor="background1"/>
              <w:sz w:val="20"/>
              <w:szCs w:val="20"/>
            </w:rPr>
            <w:t>12</w:t>
          </w:r>
          <w:r w:rsidRPr="00E83FAA">
            <w:rPr>
              <w:sz w:val="20"/>
              <w:szCs w:val="20"/>
            </w:rPr>
            <w:fldChar w:fldCharType="end"/>
          </w:r>
        </w:p>
      </w:tc>
      <w:tc>
        <w:tcPr>
          <w:tcW w:w="4500" w:type="pct"/>
          <w:tcBorders>
            <w:top w:val="single" w:sz="4" w:space="0" w:color="auto"/>
          </w:tcBorders>
        </w:tcPr>
        <w:p w:rsidR="003503F5" w:rsidRPr="00E83FAA" w:rsidRDefault="003503F5" w:rsidP="0055599F">
          <w:pPr>
            <w:pStyle w:val="Footer"/>
            <w:rPr>
              <w:sz w:val="20"/>
              <w:szCs w:val="20"/>
            </w:rPr>
          </w:pPr>
          <w:r w:rsidRPr="00E83FAA">
            <w:rPr>
              <w:sz w:val="20"/>
              <w:szCs w:val="20"/>
            </w:rPr>
            <w:t>Vol</w:t>
          </w:r>
          <w:r>
            <w:rPr>
              <w:sz w:val="20"/>
              <w:szCs w:val="20"/>
            </w:rPr>
            <w:t xml:space="preserve">. </w:t>
          </w:r>
          <w:r w:rsidR="00925187">
            <w:rPr>
              <w:sz w:val="20"/>
              <w:szCs w:val="20"/>
            </w:rPr>
            <w:t>1</w:t>
          </w:r>
          <w:r w:rsidR="00B53765">
            <w:rPr>
              <w:sz w:val="20"/>
              <w:szCs w:val="20"/>
            </w:rPr>
            <w:t>2</w:t>
          </w:r>
          <w:r>
            <w:rPr>
              <w:sz w:val="20"/>
              <w:szCs w:val="20"/>
            </w:rPr>
            <w:t xml:space="preserve"> No. </w:t>
          </w:r>
          <w:r w:rsidR="00B53765">
            <w:rPr>
              <w:sz w:val="20"/>
              <w:szCs w:val="20"/>
            </w:rPr>
            <w:t>1</w:t>
          </w:r>
          <w:r w:rsidR="0013150B">
            <w:rPr>
              <w:sz w:val="20"/>
              <w:szCs w:val="20"/>
            </w:rPr>
            <w:t xml:space="preserve"> </w:t>
          </w:r>
          <w:r w:rsidR="00917D9C">
            <w:rPr>
              <w:sz w:val="20"/>
              <w:szCs w:val="20"/>
            </w:rPr>
            <w:t>Mar</w:t>
          </w:r>
          <w:r w:rsidRPr="00E83FAA">
            <w:rPr>
              <w:sz w:val="20"/>
              <w:szCs w:val="20"/>
            </w:rPr>
            <w:t xml:space="preserve"> 20</w:t>
          </w:r>
          <w:r w:rsidR="00925187">
            <w:rPr>
              <w:sz w:val="20"/>
              <w:szCs w:val="20"/>
            </w:rPr>
            <w:t>2</w:t>
          </w:r>
          <w:r w:rsidR="00B53765">
            <w:rPr>
              <w:sz w:val="20"/>
              <w:szCs w:val="20"/>
            </w:rPr>
            <w:t>3</w:t>
          </w:r>
          <w:sdt>
            <w:sdtPr>
              <w:rPr>
                <w:sz w:val="20"/>
                <w:szCs w:val="20"/>
              </w:rPr>
              <w:alias w:val="Company"/>
              <w:id w:val="75914618"/>
              <w:placeholder>
                <w:docPart w:val="8E1BDF5BA7564932824D4C9F799526DE"/>
              </w:placeholder>
              <w:dataBinding w:prefixMappings="xmlns:ns0='http://schemas.openxmlformats.org/officeDocument/2006/extended-properties'" w:xpath="/ns0:Properties[1]/ns0:Company[1]" w:storeItemID="{6668398D-A668-4E3E-A5EB-62B293D839F1}"/>
              <w:text/>
            </w:sdtPr>
            <w:sdtEndPr/>
            <w:sdtContent>
              <w:r w:rsidR="00265AB9">
                <w:rPr>
                  <w:sz w:val="20"/>
                  <w:szCs w:val="20"/>
                </w:rPr>
                <w:t>ISSN (O): 2278-4764</w:t>
              </w:r>
            </w:sdtContent>
          </w:sdt>
        </w:p>
      </w:tc>
    </w:tr>
  </w:tbl>
  <w:p w:rsidR="003503F5" w:rsidRDefault="003503F5" w:rsidP="002971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736" w:type="pct"/>
      <w:tblCellMar>
        <w:top w:w="72" w:type="dxa"/>
        <w:left w:w="115" w:type="dxa"/>
        <w:bottom w:w="72" w:type="dxa"/>
        <w:right w:w="115" w:type="dxa"/>
      </w:tblCellMar>
      <w:tblLook w:val="04A0" w:firstRow="1" w:lastRow="0" w:firstColumn="1" w:lastColumn="0" w:noHBand="0" w:noVBand="1"/>
    </w:tblPr>
    <w:tblGrid>
      <w:gridCol w:w="6245"/>
      <w:gridCol w:w="737"/>
    </w:tblGrid>
    <w:tr w:rsidR="003503F5" w:rsidRPr="00A36213" w:rsidTr="005A6A48">
      <w:tc>
        <w:tcPr>
          <w:tcW w:w="4472" w:type="pct"/>
          <w:tcBorders>
            <w:top w:val="single" w:sz="4" w:space="0" w:color="000000" w:themeColor="text1"/>
          </w:tcBorders>
        </w:tcPr>
        <w:p w:rsidR="003503F5" w:rsidRPr="00A36213" w:rsidRDefault="00265AB9" w:rsidP="0055599F">
          <w:pPr>
            <w:pStyle w:val="Footer"/>
            <w:rPr>
              <w:sz w:val="20"/>
              <w:szCs w:val="20"/>
            </w:rPr>
          </w:pPr>
          <w:sdt>
            <w:sdtPr>
              <w:rPr>
                <w:sz w:val="20"/>
                <w:szCs w:val="20"/>
              </w:rPr>
              <w:alias w:val="Company"/>
              <w:id w:val="75971759"/>
              <w:dataBinding w:prefixMappings="xmlns:ns0='http://schemas.openxmlformats.org/officeDocument/2006/extended-properties'" w:xpath="/ns0:Properties[1]/ns0:Company[1]" w:storeItemID="{6668398D-A668-4E3E-A5EB-62B293D839F1}"/>
              <w:text/>
            </w:sdtPr>
            <w:sdtEndPr/>
            <w:sdtContent>
              <w:r>
                <w:rPr>
                  <w:sz w:val="20"/>
                  <w:szCs w:val="20"/>
                </w:rPr>
                <w:t>ISSN (O): 2278-4764</w:t>
              </w:r>
            </w:sdtContent>
          </w:sdt>
          <w:r w:rsidR="003503F5">
            <w:rPr>
              <w:sz w:val="20"/>
              <w:szCs w:val="20"/>
            </w:rPr>
            <w:t xml:space="preserve">  Vol. </w:t>
          </w:r>
          <w:r w:rsidR="00925187">
            <w:rPr>
              <w:sz w:val="20"/>
              <w:szCs w:val="20"/>
            </w:rPr>
            <w:t>1</w:t>
          </w:r>
          <w:r w:rsidR="00296DCC">
            <w:rPr>
              <w:sz w:val="20"/>
              <w:szCs w:val="20"/>
            </w:rPr>
            <w:t>2</w:t>
          </w:r>
          <w:r w:rsidR="003503F5">
            <w:rPr>
              <w:sz w:val="20"/>
              <w:szCs w:val="20"/>
            </w:rPr>
            <w:t xml:space="preserve"> No. </w:t>
          </w:r>
          <w:r w:rsidR="00296DCC">
            <w:rPr>
              <w:sz w:val="20"/>
              <w:szCs w:val="20"/>
            </w:rPr>
            <w:t>1</w:t>
          </w:r>
          <w:r w:rsidR="0013150B">
            <w:rPr>
              <w:sz w:val="20"/>
              <w:szCs w:val="20"/>
            </w:rPr>
            <w:t xml:space="preserve"> </w:t>
          </w:r>
          <w:r w:rsidR="00296DCC">
            <w:rPr>
              <w:sz w:val="20"/>
              <w:szCs w:val="20"/>
            </w:rPr>
            <w:t>Mar</w:t>
          </w:r>
          <w:r w:rsidR="003503F5" w:rsidRPr="00A36213">
            <w:rPr>
              <w:sz w:val="20"/>
              <w:szCs w:val="20"/>
            </w:rPr>
            <w:t xml:space="preserve"> 20</w:t>
          </w:r>
          <w:r w:rsidR="00925187">
            <w:rPr>
              <w:sz w:val="20"/>
              <w:szCs w:val="20"/>
            </w:rPr>
            <w:t>2</w:t>
          </w:r>
          <w:r w:rsidR="00296DCC">
            <w:rPr>
              <w:sz w:val="20"/>
              <w:szCs w:val="20"/>
            </w:rPr>
            <w:t>3</w:t>
          </w:r>
        </w:p>
      </w:tc>
      <w:tc>
        <w:tcPr>
          <w:tcW w:w="528" w:type="pct"/>
          <w:tcBorders>
            <w:top w:val="single" w:sz="4" w:space="0" w:color="C0504D" w:themeColor="accent2"/>
          </w:tcBorders>
          <w:shd w:val="clear" w:color="auto" w:fill="943634" w:themeFill="accent2" w:themeFillShade="BF"/>
        </w:tcPr>
        <w:p w:rsidR="003503F5" w:rsidRPr="00A36213" w:rsidRDefault="00141552">
          <w:pPr>
            <w:pStyle w:val="Header"/>
            <w:rPr>
              <w:color w:val="FFFFFF" w:themeColor="background1"/>
              <w:sz w:val="20"/>
              <w:szCs w:val="20"/>
            </w:rPr>
          </w:pPr>
          <w:r w:rsidRPr="00A36213">
            <w:rPr>
              <w:sz w:val="20"/>
              <w:szCs w:val="20"/>
            </w:rPr>
            <w:fldChar w:fldCharType="begin"/>
          </w:r>
          <w:r w:rsidR="003503F5" w:rsidRPr="00A36213">
            <w:rPr>
              <w:sz w:val="20"/>
              <w:szCs w:val="20"/>
            </w:rPr>
            <w:instrText xml:space="preserve"> PAGE   \* MERGEFORMAT </w:instrText>
          </w:r>
          <w:r w:rsidRPr="00A36213">
            <w:rPr>
              <w:sz w:val="20"/>
              <w:szCs w:val="20"/>
            </w:rPr>
            <w:fldChar w:fldCharType="separate"/>
          </w:r>
          <w:r w:rsidR="00FA0D5F" w:rsidRPr="00FA0D5F">
            <w:rPr>
              <w:noProof/>
              <w:color w:val="FFFFFF" w:themeColor="background1"/>
              <w:sz w:val="20"/>
              <w:szCs w:val="20"/>
            </w:rPr>
            <w:t>1</w:t>
          </w:r>
          <w:r w:rsidRPr="00A36213">
            <w:rPr>
              <w:sz w:val="20"/>
              <w:szCs w:val="20"/>
            </w:rPr>
            <w:fldChar w:fldCharType="end"/>
          </w:r>
        </w:p>
      </w:tc>
    </w:tr>
  </w:tbl>
  <w:p w:rsidR="003503F5" w:rsidRDefault="003503F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ED493E" w:rsidRDefault="00ED493E" w:rsidP="005C6C06">
      <w:pPr>
        <w:spacing w:after="0" w:line="240" w:lineRule="auto"/>
      </w:pPr>
      <w:r>
        <w:separator/>
      </w:r>
    </w:p>
  </w:footnote>
  <w:footnote w:type="continuationSeparator" w:id="0">
    <w:p w:rsidR="00ED493E" w:rsidRDefault="00ED493E" w:rsidP="005C6C06">
      <w:pPr>
        <w:spacing w:after="0" w:line="240" w:lineRule="auto"/>
      </w:pPr>
      <w:r>
        <w:continuationSeparator/>
      </w:r>
    </w:p>
  </w:footnote>
  <w:footnote w:id="1">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A71617">
        <w:rPr>
          <w:rFonts w:ascii="Times New Roman" w:hAnsi="Times New Roman"/>
        </w:rPr>
        <w:t xml:space="preserve"> </w:t>
      </w:r>
      <w:r w:rsidRPr="00271D95">
        <w:rPr>
          <w:rFonts w:ascii="Times New Roman" w:hAnsi="Times New Roman"/>
        </w:rPr>
        <w:t>Quran,</w:t>
      </w:r>
      <w:r w:rsidR="00A71617">
        <w:rPr>
          <w:rFonts w:ascii="Times New Roman" w:hAnsi="Times New Roman"/>
        </w:rPr>
        <w:t xml:space="preserve"> </w:t>
      </w:r>
      <w:r w:rsidRPr="00271D95">
        <w:rPr>
          <w:rFonts w:ascii="Times New Roman" w:hAnsi="Times New Roman"/>
        </w:rPr>
        <w:t xml:space="preserve">Surah  </w:t>
      </w:r>
      <w:r w:rsidRPr="00271D95">
        <w:rPr>
          <w:rFonts w:ascii="Times New Roman" w:hAnsi="Times New Roman"/>
          <w:i/>
        </w:rPr>
        <w:t>At-Takathur</w:t>
      </w:r>
      <w:r w:rsidRPr="00271D95">
        <w:rPr>
          <w:rFonts w:ascii="Times New Roman" w:hAnsi="Times New Roman"/>
        </w:rPr>
        <w:t xml:space="preserve"> (102:1-8)</w:t>
      </w:r>
    </w:p>
  </w:footnote>
  <w:footnote w:id="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271D95">
        <w:rPr>
          <w:rFonts w:ascii="Times New Roman" w:hAnsi="Times New Roman"/>
        </w:rPr>
        <w:t xml:space="preserve"> Quran,</w:t>
      </w:r>
      <w:r w:rsidR="00A71617">
        <w:rPr>
          <w:rFonts w:ascii="Times New Roman" w:hAnsi="Times New Roman"/>
        </w:rPr>
        <w:t xml:space="preserve"> </w:t>
      </w:r>
      <w:r w:rsidRPr="00271D95">
        <w:rPr>
          <w:rFonts w:ascii="Times New Roman" w:hAnsi="Times New Roman"/>
        </w:rPr>
        <w:t xml:space="preserve">Surah </w:t>
      </w:r>
      <w:r w:rsidRPr="00271D95">
        <w:rPr>
          <w:rFonts w:ascii="Times New Roman" w:hAnsi="Times New Roman"/>
          <w:i/>
        </w:rPr>
        <w:t>An-Nisa</w:t>
      </w:r>
      <w:r w:rsidRPr="00271D95">
        <w:rPr>
          <w:rFonts w:ascii="Times New Roman" w:hAnsi="Times New Roman"/>
        </w:rPr>
        <w:t xml:space="preserve"> (4 :11, 12 and 176)</w:t>
      </w:r>
    </w:p>
  </w:footnote>
  <w:footnote w:id="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271D95">
        <w:rPr>
          <w:rFonts w:ascii="Times New Roman" w:hAnsi="Times New Roman"/>
        </w:rPr>
        <w:t xml:space="preserve"> A</w:t>
      </w:r>
      <w:r w:rsidR="000A3452">
        <w:rPr>
          <w:rFonts w:ascii="Times New Roman" w:hAnsi="Times New Roman"/>
        </w:rPr>
        <w:t xml:space="preserve">hmed A. Muhammed-Mikaaeel, </w:t>
      </w:r>
      <w:r w:rsidRPr="000A3452">
        <w:rPr>
          <w:rFonts w:ascii="Times New Roman" w:hAnsi="Times New Roman"/>
          <w:i/>
        </w:rPr>
        <w:t>Application of Corporate Personality Doctrine under the Nigerian Corporate Law and Shari’ah</w:t>
      </w:r>
      <w:r w:rsidR="009578F3">
        <w:rPr>
          <w:rFonts w:ascii="Times New Roman" w:hAnsi="Times New Roman"/>
          <w:i/>
        </w:rPr>
        <w:t>,</w:t>
      </w:r>
      <w:r w:rsidR="000A3452">
        <w:rPr>
          <w:rFonts w:ascii="Times New Roman" w:hAnsi="Times New Roman"/>
        </w:rPr>
        <w:t xml:space="preserve"> </w:t>
      </w:r>
      <w:r w:rsidRPr="00271D95">
        <w:rPr>
          <w:rFonts w:ascii="Times New Roman" w:hAnsi="Times New Roman"/>
        </w:rPr>
        <w:t>8</w:t>
      </w:r>
      <w:r w:rsidR="000A3452">
        <w:rPr>
          <w:rFonts w:ascii="Times New Roman" w:hAnsi="Times New Roman"/>
        </w:rPr>
        <w:t xml:space="preserve"> </w:t>
      </w:r>
      <w:r w:rsidRPr="00271D95">
        <w:rPr>
          <w:rFonts w:ascii="Times New Roman" w:hAnsi="Times New Roman"/>
        </w:rPr>
        <w:t xml:space="preserve">(1) </w:t>
      </w:r>
      <w:r w:rsidRPr="000A3452">
        <w:rPr>
          <w:rFonts w:ascii="Times New Roman" w:hAnsi="Times New Roman"/>
        </w:rPr>
        <w:t>Lexigentia</w:t>
      </w:r>
      <w:r w:rsidRPr="00271D95">
        <w:rPr>
          <w:rFonts w:ascii="Times New Roman" w:hAnsi="Times New Roman"/>
        </w:rPr>
        <w:t>, 4-5 (2022)</w:t>
      </w:r>
    </w:p>
  </w:footnote>
  <w:footnote w:id="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i/>
        </w:rPr>
        <w:t xml:space="preserve"> Id.</w:t>
      </w:r>
    </w:p>
  </w:footnote>
  <w:footnote w:id="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rPr>
        <w:t xml:space="preserve"> </w:t>
      </w:r>
      <w:r w:rsidRPr="00271D95">
        <w:rPr>
          <w:rFonts w:ascii="Times New Roman" w:hAnsi="Times New Roman"/>
        </w:rPr>
        <w:t>A</w:t>
      </w:r>
      <w:r w:rsidR="009578F3">
        <w:rPr>
          <w:rFonts w:ascii="Times New Roman" w:hAnsi="Times New Roman"/>
        </w:rPr>
        <w:t>bubakar T</w:t>
      </w:r>
      <w:r w:rsidRPr="00271D95">
        <w:rPr>
          <w:rFonts w:ascii="Times New Roman" w:hAnsi="Times New Roman"/>
        </w:rPr>
        <w:t>. Getso</w:t>
      </w:r>
      <w:r w:rsidR="009578F3">
        <w:rPr>
          <w:rFonts w:ascii="Times New Roman" w:hAnsi="Times New Roman"/>
        </w:rPr>
        <w:t xml:space="preserve">, </w:t>
      </w:r>
      <w:r w:rsidRPr="009578F3">
        <w:rPr>
          <w:rFonts w:ascii="Times New Roman" w:hAnsi="Times New Roman"/>
          <w:i/>
        </w:rPr>
        <w:t>Introduction to the General Principles of Islamic Law of Tort</w:t>
      </w:r>
      <w:r w:rsidR="009578F3">
        <w:rPr>
          <w:rFonts w:ascii="Times New Roman" w:hAnsi="Times New Roman"/>
        </w:rPr>
        <w:t>,</w:t>
      </w:r>
      <w:r w:rsidRPr="00271D95">
        <w:rPr>
          <w:rFonts w:ascii="Times New Roman" w:hAnsi="Times New Roman"/>
        </w:rPr>
        <w:t xml:space="preserve"> 76-78, availableat:</w:t>
      </w:r>
      <w:hyperlink r:id="rId1" w:history="1">
        <w:r w:rsidRPr="00271D95">
          <w:rPr>
            <w:rStyle w:val="Hyperlink"/>
            <w:rFonts w:ascii="Times New Roman" w:hAnsi="Times New Roman"/>
          </w:rPr>
          <w:t>https://kubanni.abu.edu.ng/bitstreams/1f3f0a4c-6533-4189-a487-3857b923500/download</w:t>
        </w:r>
      </w:hyperlink>
      <w:r w:rsidR="000964EE">
        <w:t xml:space="preserve"> </w:t>
      </w:r>
      <w:r w:rsidRPr="00271D95">
        <w:rPr>
          <w:rFonts w:ascii="Times New Roman" w:hAnsi="Times New Roman"/>
        </w:rPr>
        <w:t>(last visited on November 9, 2022).</w:t>
      </w:r>
    </w:p>
  </w:footnote>
  <w:footnote w:id="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i/>
        </w:rPr>
        <w:t xml:space="preserve"> Id.</w:t>
      </w:r>
    </w:p>
  </w:footnote>
  <w:footnote w:id="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i/>
        </w:rPr>
        <w:t xml:space="preserve"> I</w:t>
      </w:r>
      <w:r w:rsidRPr="00271D95">
        <w:rPr>
          <w:rFonts w:ascii="Times New Roman" w:hAnsi="Times New Roman"/>
          <w:i/>
        </w:rPr>
        <w:t>d</w:t>
      </w:r>
      <w:r w:rsidR="009578F3">
        <w:rPr>
          <w:rFonts w:ascii="Times New Roman" w:hAnsi="Times New Roman"/>
          <w:i/>
        </w:rPr>
        <w:t>.</w:t>
      </w:r>
    </w:p>
  </w:footnote>
  <w:footnote w:id="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rPr>
        <w:t xml:space="preserve"> Fatmeh</w:t>
      </w:r>
      <w:r w:rsidR="00E155CE">
        <w:rPr>
          <w:rFonts w:ascii="Times New Roman" w:hAnsi="Times New Roman"/>
        </w:rPr>
        <w:t xml:space="preserve"> Arzhang</w:t>
      </w:r>
      <w:r w:rsidRPr="00271D95">
        <w:rPr>
          <w:rFonts w:ascii="Times New Roman" w:hAnsi="Times New Roman"/>
        </w:rPr>
        <w:t xml:space="preserve"> </w:t>
      </w:r>
      <w:r w:rsidR="009578F3">
        <w:rPr>
          <w:rFonts w:ascii="Times New Roman" w:hAnsi="Times New Roman"/>
        </w:rPr>
        <w:t>&amp;</w:t>
      </w:r>
      <w:r w:rsidRPr="00271D95">
        <w:rPr>
          <w:rFonts w:ascii="Times New Roman" w:hAnsi="Times New Roman"/>
        </w:rPr>
        <w:t xml:space="preserve"> A</w:t>
      </w:r>
      <w:r w:rsidR="009578F3">
        <w:rPr>
          <w:rFonts w:ascii="Times New Roman" w:hAnsi="Times New Roman"/>
        </w:rPr>
        <w:t xml:space="preserve">rdvan Arzhang, </w:t>
      </w:r>
      <w:r w:rsidRPr="009578F3">
        <w:rPr>
          <w:rFonts w:ascii="Times New Roman" w:hAnsi="Times New Roman"/>
          <w:i/>
        </w:rPr>
        <w:t>Statute of Limitation and its Meanings Development in Islamic Punishment Law</w:t>
      </w:r>
      <w:r w:rsidR="009578F3">
        <w:rPr>
          <w:rFonts w:ascii="Times New Roman" w:hAnsi="Times New Roman"/>
        </w:rPr>
        <w:t>,</w:t>
      </w:r>
      <w:r w:rsidRPr="00271D95">
        <w:rPr>
          <w:rFonts w:ascii="Times New Roman" w:hAnsi="Times New Roman"/>
        </w:rPr>
        <w:t xml:space="preserve"> 5(8)</w:t>
      </w:r>
      <w:r w:rsidR="00536421">
        <w:rPr>
          <w:rFonts w:ascii="Times New Roman" w:hAnsi="Times New Roman"/>
        </w:rPr>
        <w:t xml:space="preserve"> </w:t>
      </w:r>
      <w:r w:rsidRPr="009578F3">
        <w:rPr>
          <w:rFonts w:ascii="Times New Roman" w:hAnsi="Times New Roman"/>
        </w:rPr>
        <w:t>Journal of Applied Environmental and Biological Sciences</w:t>
      </w:r>
      <w:r w:rsidRPr="00271D95">
        <w:rPr>
          <w:rFonts w:ascii="Times New Roman" w:hAnsi="Times New Roman"/>
        </w:rPr>
        <w:t xml:space="preserve"> 296-298</w:t>
      </w:r>
      <w:r w:rsidR="009C52E5">
        <w:rPr>
          <w:rFonts w:ascii="Times New Roman" w:hAnsi="Times New Roman"/>
        </w:rPr>
        <w:t xml:space="preserve"> </w:t>
      </w:r>
      <w:r w:rsidRPr="00271D95">
        <w:rPr>
          <w:rFonts w:ascii="Times New Roman" w:hAnsi="Times New Roman"/>
        </w:rPr>
        <w:t>(2015).</w:t>
      </w:r>
    </w:p>
  </w:footnote>
  <w:footnote w:id="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460E4">
        <w:rPr>
          <w:rFonts w:ascii="Times New Roman" w:hAnsi="Times New Roman"/>
        </w:rPr>
        <w:t xml:space="preserve"> </w:t>
      </w:r>
      <w:r w:rsidR="00C460E4" w:rsidRPr="00271D95">
        <w:rPr>
          <w:rFonts w:ascii="Times New Roman" w:hAnsi="Times New Roman"/>
        </w:rPr>
        <w:t>Getso</w:t>
      </w:r>
      <w:r w:rsidR="00C460E4">
        <w:rPr>
          <w:rFonts w:ascii="Times New Roman" w:hAnsi="Times New Roman"/>
        </w:rPr>
        <w:t xml:space="preserve">, </w:t>
      </w:r>
      <w:r w:rsidR="00C460E4" w:rsidRPr="00271D95">
        <w:rPr>
          <w:rFonts w:ascii="Times New Roman" w:hAnsi="Times New Roman"/>
          <w:i/>
        </w:rPr>
        <w:t>supra</w:t>
      </w:r>
      <w:r w:rsidR="00C460E4" w:rsidRPr="00271D95">
        <w:rPr>
          <w:rFonts w:ascii="Times New Roman" w:hAnsi="Times New Roman"/>
        </w:rPr>
        <w:t xml:space="preserve"> </w:t>
      </w:r>
      <w:r w:rsidR="00C460E4">
        <w:rPr>
          <w:rFonts w:ascii="Times New Roman" w:hAnsi="Times New Roman"/>
        </w:rPr>
        <w:t>note 5,</w:t>
      </w:r>
      <w:r w:rsidRPr="00271D95">
        <w:rPr>
          <w:rFonts w:ascii="Times New Roman" w:hAnsi="Times New Roman"/>
        </w:rPr>
        <w:t xml:space="preserve"> 76-77</w:t>
      </w:r>
    </w:p>
  </w:footnote>
  <w:footnote w:id="1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578F3">
        <w:rPr>
          <w:rFonts w:ascii="Times New Roman" w:hAnsi="Times New Roman"/>
        </w:rPr>
        <w:t xml:space="preserve"> Abdulqadir</w:t>
      </w:r>
      <w:r w:rsidR="008240AF">
        <w:rPr>
          <w:rFonts w:ascii="Times New Roman" w:hAnsi="Times New Roman"/>
        </w:rPr>
        <w:t xml:space="preserve"> </w:t>
      </w:r>
      <w:r w:rsidRPr="00271D95">
        <w:rPr>
          <w:rFonts w:ascii="Times New Roman" w:hAnsi="Times New Roman"/>
        </w:rPr>
        <w:t xml:space="preserve">Zubair, </w:t>
      </w:r>
      <w:r w:rsidRPr="008240AF">
        <w:rPr>
          <w:rFonts w:ascii="Times New Roman" w:hAnsi="Times New Roman"/>
        </w:rPr>
        <w:t xml:space="preserve">An </w:t>
      </w:r>
      <w:r w:rsidR="008240AF" w:rsidRPr="008240AF">
        <w:rPr>
          <w:rFonts w:ascii="Times New Roman" w:hAnsi="Times New Roman"/>
        </w:rPr>
        <w:t xml:space="preserve">Outline </w:t>
      </w:r>
      <w:r w:rsidRPr="008240AF">
        <w:rPr>
          <w:rFonts w:ascii="Times New Roman" w:hAnsi="Times New Roman"/>
        </w:rPr>
        <w:t>of Islamic Law of Tort</w:t>
      </w:r>
      <w:r w:rsidR="008240AF">
        <w:rPr>
          <w:rFonts w:ascii="Times New Roman" w:hAnsi="Times New Roman"/>
        </w:rPr>
        <w:t xml:space="preserve"> 71, </w:t>
      </w:r>
      <w:r w:rsidRPr="00271D95">
        <w:rPr>
          <w:rFonts w:ascii="Times New Roman" w:hAnsi="Times New Roman"/>
        </w:rPr>
        <w:t xml:space="preserve">IIC Publications, Lagos, </w:t>
      </w:r>
      <w:r w:rsidR="008240AF">
        <w:rPr>
          <w:rFonts w:ascii="Times New Roman" w:hAnsi="Times New Roman"/>
        </w:rPr>
        <w:t>(</w:t>
      </w:r>
      <w:r w:rsidRPr="00271D95">
        <w:rPr>
          <w:rFonts w:ascii="Times New Roman" w:hAnsi="Times New Roman"/>
        </w:rPr>
        <w:t>1990).</w:t>
      </w:r>
    </w:p>
  </w:footnote>
  <w:footnote w:id="11">
    <w:p w:rsidR="00666944" w:rsidRPr="00271D95" w:rsidRDefault="00666944" w:rsidP="008240AF">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8240AF">
        <w:rPr>
          <w:rFonts w:ascii="Times New Roman" w:hAnsi="Times New Roman"/>
        </w:rPr>
        <w:t xml:space="preserve"> Jamiu </w:t>
      </w:r>
      <w:r w:rsidRPr="00271D95">
        <w:rPr>
          <w:rFonts w:ascii="Times New Roman" w:hAnsi="Times New Roman"/>
        </w:rPr>
        <w:t>M. Busari</w:t>
      </w:r>
      <w:r w:rsidR="008240AF">
        <w:rPr>
          <w:rFonts w:ascii="Times New Roman" w:hAnsi="Times New Roman"/>
        </w:rPr>
        <w:t>,</w:t>
      </w:r>
      <w:r w:rsidR="00536421">
        <w:rPr>
          <w:rFonts w:ascii="Times New Roman" w:hAnsi="Times New Roman"/>
        </w:rPr>
        <w:t xml:space="preserve"> </w:t>
      </w:r>
      <w:r w:rsidRPr="008240AF">
        <w:rPr>
          <w:rFonts w:ascii="Times New Roman" w:hAnsi="Times New Roman"/>
          <w:i/>
        </w:rPr>
        <w:t>Al-Fara’id (The Islamic Law of Inheritance): Introduction and Theories</w:t>
      </w:r>
      <w:r w:rsidR="008240AF">
        <w:rPr>
          <w:rFonts w:ascii="Times New Roman" w:hAnsi="Times New Roman"/>
        </w:rPr>
        <w:t xml:space="preserve">,1-6,available </w:t>
      </w:r>
      <w:r w:rsidRPr="00271D95">
        <w:rPr>
          <w:rFonts w:ascii="Times New Roman" w:hAnsi="Times New Roman"/>
        </w:rPr>
        <w:t>at:</w:t>
      </w:r>
      <w:hyperlink r:id="rId2" w:history="1">
        <w:r w:rsidRPr="00271D95">
          <w:rPr>
            <w:rStyle w:val="Hyperlink"/>
            <w:rFonts w:ascii="Times New Roman" w:hAnsi="Times New Roman"/>
          </w:rPr>
          <w:t>https://www.academia.edu/42127461/The_Islamic_Law_of_Inheritance_Introduction-and_Theories</w:t>
        </w:r>
      </w:hyperlink>
      <w:r w:rsidR="008240AF">
        <w:t xml:space="preserve"> </w:t>
      </w:r>
      <w:r w:rsidRPr="00271D95">
        <w:rPr>
          <w:rFonts w:ascii="Times New Roman" w:hAnsi="Times New Roman"/>
        </w:rPr>
        <w:t xml:space="preserve">(last visited on November 9, 2022).    </w:t>
      </w:r>
    </w:p>
  </w:footnote>
  <w:footnote w:id="1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43174">
        <w:rPr>
          <w:rFonts w:ascii="Times New Roman" w:hAnsi="Times New Roman"/>
        </w:rPr>
        <w:t xml:space="preserve"> </w:t>
      </w:r>
      <w:r w:rsidR="00C460E4" w:rsidRPr="00271D95">
        <w:rPr>
          <w:rFonts w:ascii="Times New Roman" w:hAnsi="Times New Roman"/>
        </w:rPr>
        <w:t>Quran,</w:t>
      </w:r>
      <w:r w:rsidR="00C460E4">
        <w:rPr>
          <w:rFonts w:ascii="Times New Roman" w:hAnsi="Times New Roman"/>
        </w:rPr>
        <w:t xml:space="preserve"> </w:t>
      </w:r>
      <w:r w:rsidR="00C460E4" w:rsidRPr="00271D95">
        <w:rPr>
          <w:rFonts w:ascii="Times New Roman" w:hAnsi="Times New Roman"/>
        </w:rPr>
        <w:t xml:space="preserve">Surah </w:t>
      </w:r>
      <w:r w:rsidR="00C460E4" w:rsidRPr="00271D95">
        <w:rPr>
          <w:rFonts w:ascii="Times New Roman" w:hAnsi="Times New Roman"/>
          <w:i/>
        </w:rPr>
        <w:t>An-Nisa</w:t>
      </w:r>
      <w:r w:rsidR="00C460E4">
        <w:rPr>
          <w:rFonts w:ascii="Times New Roman" w:hAnsi="Times New Roman"/>
          <w:i/>
        </w:rPr>
        <w:t>,</w:t>
      </w:r>
      <w:r w:rsidR="00C460E4" w:rsidRPr="00271D95">
        <w:rPr>
          <w:rFonts w:ascii="Times New Roman" w:hAnsi="Times New Roman"/>
          <w:i/>
        </w:rPr>
        <w:t xml:space="preserve"> supra</w:t>
      </w:r>
      <w:r w:rsidR="00C460E4">
        <w:rPr>
          <w:rFonts w:ascii="Times New Roman" w:hAnsi="Times New Roman"/>
        </w:rPr>
        <w:t xml:space="preserve"> note 2,</w:t>
      </w:r>
      <w:r w:rsidRPr="00271D95">
        <w:rPr>
          <w:rFonts w:ascii="Times New Roman" w:hAnsi="Times New Roman"/>
        </w:rPr>
        <w:t xml:space="preserve"> 11-14</w:t>
      </w:r>
    </w:p>
  </w:footnote>
  <w:footnote w:id="1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430D8">
        <w:rPr>
          <w:rFonts w:ascii="Times New Roman" w:hAnsi="Times New Roman"/>
        </w:rPr>
        <w:t xml:space="preserve"> Saujan Iqbal</w:t>
      </w:r>
      <w:r w:rsidRPr="00271D95">
        <w:rPr>
          <w:rFonts w:ascii="Times New Roman" w:hAnsi="Times New Roman"/>
        </w:rPr>
        <w:t xml:space="preserve"> </w:t>
      </w:r>
      <w:r w:rsidRPr="00271D95">
        <w:rPr>
          <w:rFonts w:ascii="Times New Roman" w:hAnsi="Times New Roman"/>
          <w:i/>
        </w:rPr>
        <w:t>et al</w:t>
      </w:r>
      <w:r w:rsidR="00D430D8">
        <w:rPr>
          <w:rFonts w:ascii="Times New Roman" w:hAnsi="Times New Roman"/>
        </w:rPr>
        <w:t xml:space="preserve">, </w:t>
      </w:r>
      <w:r w:rsidRPr="00D430D8">
        <w:rPr>
          <w:rFonts w:ascii="Times New Roman" w:hAnsi="Times New Roman"/>
          <w:i/>
        </w:rPr>
        <w:t>Islamic Law of Inheritance and its Implication amongst Muslim Society: An Empirical Analysis</w:t>
      </w:r>
      <w:r w:rsidR="00D430D8">
        <w:rPr>
          <w:rFonts w:ascii="Times New Roman" w:hAnsi="Times New Roman"/>
        </w:rPr>
        <w:t>,</w:t>
      </w:r>
      <w:r w:rsidR="00536421">
        <w:rPr>
          <w:rFonts w:ascii="Times New Roman" w:hAnsi="Times New Roman"/>
        </w:rPr>
        <w:t xml:space="preserve"> </w:t>
      </w:r>
      <w:r w:rsidRPr="00271D95">
        <w:rPr>
          <w:rFonts w:ascii="Times New Roman" w:hAnsi="Times New Roman"/>
        </w:rPr>
        <w:t>7</w:t>
      </w:r>
      <w:r w:rsidR="00D430D8">
        <w:rPr>
          <w:rFonts w:ascii="Times New Roman" w:hAnsi="Times New Roman"/>
        </w:rPr>
        <w:t xml:space="preserve"> </w:t>
      </w:r>
      <w:r w:rsidRPr="00271D95">
        <w:rPr>
          <w:rFonts w:ascii="Times New Roman" w:hAnsi="Times New Roman"/>
        </w:rPr>
        <w:t xml:space="preserve">(1) </w:t>
      </w:r>
      <w:r w:rsidRPr="00D430D8">
        <w:rPr>
          <w:rFonts w:ascii="Times New Roman" w:hAnsi="Times New Roman"/>
        </w:rPr>
        <w:t>Journal of Contemporary Islamic Law</w:t>
      </w:r>
      <w:r w:rsidR="00D430D8">
        <w:rPr>
          <w:rFonts w:ascii="Times New Roman" w:hAnsi="Times New Roman"/>
        </w:rPr>
        <w:t xml:space="preserve"> </w:t>
      </w:r>
      <w:r w:rsidRPr="00271D95">
        <w:rPr>
          <w:rFonts w:ascii="Times New Roman" w:hAnsi="Times New Roman"/>
        </w:rPr>
        <w:t>35-51 (2022).</w:t>
      </w:r>
    </w:p>
  </w:footnote>
  <w:footnote w:id="1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D6A17">
        <w:rPr>
          <w:rFonts w:ascii="Times New Roman" w:hAnsi="Times New Roman"/>
          <w:i/>
        </w:rPr>
        <w:t xml:space="preserve"> </w:t>
      </w:r>
      <w:r w:rsidR="00D43174">
        <w:rPr>
          <w:rFonts w:ascii="Times New Roman" w:hAnsi="Times New Roman"/>
          <w:i/>
        </w:rPr>
        <w:t>I</w:t>
      </w:r>
      <w:r w:rsidRPr="00271D95">
        <w:rPr>
          <w:rFonts w:ascii="Times New Roman" w:hAnsi="Times New Roman"/>
          <w:i/>
        </w:rPr>
        <w:t>d</w:t>
      </w:r>
      <w:r w:rsidR="00D43174">
        <w:rPr>
          <w:rFonts w:ascii="Times New Roman" w:hAnsi="Times New Roman"/>
          <w:i/>
        </w:rPr>
        <w:t>.</w:t>
      </w:r>
    </w:p>
  </w:footnote>
  <w:footnote w:id="1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D6A17">
        <w:rPr>
          <w:rFonts w:ascii="Times New Roman" w:hAnsi="Times New Roman"/>
          <w:i/>
        </w:rPr>
        <w:t xml:space="preserve"> </w:t>
      </w:r>
      <w:r w:rsidR="00D43174">
        <w:rPr>
          <w:rFonts w:ascii="Times New Roman" w:hAnsi="Times New Roman"/>
          <w:i/>
        </w:rPr>
        <w:t>I</w:t>
      </w:r>
      <w:r w:rsidRPr="00271D95">
        <w:rPr>
          <w:rFonts w:ascii="Times New Roman" w:hAnsi="Times New Roman"/>
          <w:i/>
        </w:rPr>
        <w:t>d</w:t>
      </w:r>
      <w:r w:rsidR="00D43174">
        <w:rPr>
          <w:rFonts w:ascii="Times New Roman" w:hAnsi="Times New Roman"/>
          <w:i/>
        </w:rPr>
        <w:t>.</w:t>
      </w:r>
    </w:p>
  </w:footnote>
  <w:footnote w:id="1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D6A17">
        <w:rPr>
          <w:rFonts w:ascii="Times New Roman" w:hAnsi="Times New Roman"/>
          <w:i/>
        </w:rPr>
        <w:t xml:space="preserve"> </w:t>
      </w:r>
      <w:r w:rsidR="00ED6A17" w:rsidRPr="00271D95">
        <w:rPr>
          <w:rFonts w:ascii="Times New Roman" w:hAnsi="Times New Roman"/>
        </w:rPr>
        <w:t>Busari</w:t>
      </w:r>
      <w:r w:rsidR="00ED6A17">
        <w:rPr>
          <w:rFonts w:ascii="Times New Roman" w:hAnsi="Times New Roman"/>
        </w:rPr>
        <w:t xml:space="preserve">, </w:t>
      </w:r>
      <w:r w:rsidR="00ED6A17" w:rsidRPr="00271D95">
        <w:rPr>
          <w:rFonts w:ascii="Times New Roman" w:hAnsi="Times New Roman"/>
          <w:i/>
        </w:rPr>
        <w:t>supra</w:t>
      </w:r>
      <w:r w:rsidR="00ED6A17">
        <w:rPr>
          <w:rFonts w:ascii="Times New Roman" w:hAnsi="Times New Roman"/>
        </w:rPr>
        <w:t xml:space="preserve"> note 13, </w:t>
      </w:r>
      <w:r w:rsidRPr="00271D95">
        <w:rPr>
          <w:rFonts w:ascii="Times New Roman" w:hAnsi="Times New Roman"/>
        </w:rPr>
        <w:t>1-6</w:t>
      </w:r>
    </w:p>
  </w:footnote>
  <w:footnote w:id="1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rPr>
        <w:t xml:space="preserve"> </w:t>
      </w:r>
      <w:r w:rsidR="00ED6A17" w:rsidRPr="00271D95">
        <w:rPr>
          <w:rFonts w:ascii="Times New Roman" w:hAnsi="Times New Roman"/>
        </w:rPr>
        <w:t>Quran,</w:t>
      </w:r>
      <w:r w:rsidR="00ED6A17">
        <w:rPr>
          <w:rFonts w:ascii="Times New Roman" w:hAnsi="Times New Roman"/>
        </w:rPr>
        <w:t xml:space="preserve"> </w:t>
      </w:r>
      <w:r w:rsidR="00ED6A17" w:rsidRPr="00271D95">
        <w:rPr>
          <w:rFonts w:ascii="Times New Roman" w:hAnsi="Times New Roman"/>
        </w:rPr>
        <w:t xml:space="preserve">Surah </w:t>
      </w:r>
      <w:r w:rsidR="00ED6A17" w:rsidRPr="00271D95">
        <w:rPr>
          <w:rFonts w:ascii="Times New Roman" w:hAnsi="Times New Roman"/>
          <w:i/>
        </w:rPr>
        <w:t>An-Nisa</w:t>
      </w:r>
      <w:r w:rsidR="00ED6A17">
        <w:rPr>
          <w:rFonts w:ascii="Times New Roman" w:hAnsi="Times New Roman"/>
          <w:i/>
        </w:rPr>
        <w:t>,</w:t>
      </w:r>
      <w:r w:rsidR="00ED6A17" w:rsidRPr="00271D95">
        <w:rPr>
          <w:rFonts w:ascii="Times New Roman" w:hAnsi="Times New Roman"/>
          <w:i/>
        </w:rPr>
        <w:t xml:space="preserve"> supra</w:t>
      </w:r>
      <w:r w:rsidR="00ED6A17">
        <w:rPr>
          <w:rFonts w:ascii="Times New Roman" w:hAnsi="Times New Roman"/>
        </w:rPr>
        <w:t xml:space="preserve"> note 2,</w:t>
      </w:r>
      <w:r w:rsidRPr="00271D95">
        <w:rPr>
          <w:rFonts w:ascii="Times New Roman" w:hAnsi="Times New Roman"/>
        </w:rPr>
        <w:t xml:space="preserve"> 13-14</w:t>
      </w:r>
    </w:p>
  </w:footnote>
  <w:footnote w:id="1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D6A17">
        <w:rPr>
          <w:rFonts w:ascii="Times New Roman" w:hAnsi="Times New Roman"/>
        </w:rPr>
        <w:t xml:space="preserve"> </w:t>
      </w:r>
      <w:r w:rsidR="00ED6A17" w:rsidRPr="00ED6A17">
        <w:rPr>
          <w:rFonts w:ascii="Times New Roman" w:hAnsi="Times New Roman"/>
          <w:i/>
        </w:rPr>
        <w:t>See generally</w:t>
      </w:r>
      <w:r w:rsidR="00ED6A17">
        <w:rPr>
          <w:rFonts w:ascii="Times New Roman" w:hAnsi="Times New Roman"/>
        </w:rPr>
        <w:t xml:space="preserve">, </w:t>
      </w:r>
      <w:r w:rsidRPr="00271D95">
        <w:rPr>
          <w:rFonts w:ascii="Times New Roman" w:hAnsi="Times New Roman"/>
        </w:rPr>
        <w:t>Qur’an,</w:t>
      </w:r>
      <w:r w:rsidR="00536421">
        <w:rPr>
          <w:rFonts w:ascii="Times New Roman" w:hAnsi="Times New Roman"/>
        </w:rPr>
        <w:t xml:space="preserve"> </w:t>
      </w:r>
      <w:r w:rsidRPr="00271D95">
        <w:rPr>
          <w:rFonts w:ascii="Times New Roman" w:hAnsi="Times New Roman"/>
        </w:rPr>
        <w:t xml:space="preserve">Surah </w:t>
      </w:r>
      <w:r w:rsidRPr="00271D95">
        <w:rPr>
          <w:rFonts w:ascii="Times New Roman" w:hAnsi="Times New Roman"/>
          <w:i/>
        </w:rPr>
        <w:t>Baqarah</w:t>
      </w:r>
      <w:r w:rsidR="00522AEE">
        <w:rPr>
          <w:rFonts w:ascii="Times New Roman" w:hAnsi="Times New Roman"/>
          <w:i/>
        </w:rPr>
        <w:t xml:space="preserve"> </w:t>
      </w:r>
      <w:r w:rsidRPr="00271D95">
        <w:rPr>
          <w:rFonts w:ascii="Times New Roman" w:hAnsi="Times New Roman"/>
        </w:rPr>
        <w:t xml:space="preserve">(2:106-107) </w:t>
      </w:r>
      <w:r w:rsidR="00ED6A17">
        <w:rPr>
          <w:rFonts w:ascii="Times New Roman" w:hAnsi="Times New Roman"/>
        </w:rPr>
        <w:t xml:space="preserve">(where it is declared </w:t>
      </w:r>
      <w:r w:rsidRPr="00271D95">
        <w:rPr>
          <w:rFonts w:ascii="Times New Roman" w:hAnsi="Times New Roman"/>
        </w:rPr>
        <w:t>thus: “Allah is the Owner of the heavens and the earth; He can do whatever He likes with His properties. No one besides him owns anything; otherwise, that owner could interfere in the management of Allah or put restriction on His authority and control”</w:t>
      </w:r>
      <w:r w:rsidR="00ED6A17">
        <w:rPr>
          <w:rFonts w:ascii="Times New Roman" w:hAnsi="Times New Roman"/>
        </w:rPr>
        <w:t>).</w:t>
      </w:r>
      <w:r w:rsidRPr="00271D95">
        <w:rPr>
          <w:rFonts w:ascii="Times New Roman" w:hAnsi="Times New Roman"/>
        </w:rPr>
        <w:t xml:space="preserve"> </w:t>
      </w:r>
    </w:p>
  </w:footnote>
  <w:footnote w:id="1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83961">
        <w:rPr>
          <w:rFonts w:ascii="Times New Roman" w:hAnsi="Times New Roman"/>
          <w:i/>
        </w:rPr>
        <w:t xml:space="preserve"> </w:t>
      </w:r>
      <w:r w:rsidRPr="00271D95">
        <w:rPr>
          <w:rFonts w:ascii="Times New Roman" w:hAnsi="Times New Roman"/>
          <w:i/>
        </w:rPr>
        <w:t>Iya</w:t>
      </w:r>
      <w:r w:rsidR="00522AEE">
        <w:rPr>
          <w:rFonts w:ascii="Times New Roman" w:hAnsi="Times New Roman"/>
          <w:i/>
        </w:rPr>
        <w:t xml:space="preserve"> </w:t>
      </w:r>
      <w:r w:rsidRPr="00271D95">
        <w:rPr>
          <w:rFonts w:ascii="Times New Roman" w:hAnsi="Times New Roman"/>
          <w:i/>
        </w:rPr>
        <w:t>Maiwana</w:t>
      </w:r>
      <w:r w:rsidR="00522AEE">
        <w:rPr>
          <w:rFonts w:ascii="Times New Roman" w:hAnsi="Times New Roman"/>
          <w:i/>
        </w:rPr>
        <w:t xml:space="preserve"> v</w:t>
      </w:r>
      <w:r w:rsidRPr="00271D95">
        <w:rPr>
          <w:rFonts w:ascii="Times New Roman" w:hAnsi="Times New Roman"/>
          <w:i/>
        </w:rPr>
        <w:t>. Mamman Captain</w:t>
      </w:r>
      <w:r w:rsidR="009D79B6">
        <w:rPr>
          <w:rFonts w:ascii="Times New Roman" w:hAnsi="Times New Roman"/>
          <w:i/>
        </w:rPr>
        <w:t xml:space="preserve"> </w:t>
      </w:r>
      <w:r w:rsidR="003269C6" w:rsidRPr="00271D95">
        <w:rPr>
          <w:rFonts w:ascii="Times New Roman" w:hAnsi="Times New Roman"/>
        </w:rPr>
        <w:t>1961-1989 1 SH L.R.N.P. 8, 10-11</w:t>
      </w:r>
      <w:r w:rsidR="009D79B6">
        <w:rPr>
          <w:rFonts w:ascii="Times New Roman" w:hAnsi="Times New Roman"/>
        </w:rPr>
        <w:t xml:space="preserve"> </w:t>
      </w:r>
    </w:p>
  </w:footnote>
  <w:footnote w:id="2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83961">
        <w:rPr>
          <w:rFonts w:ascii="Times New Roman" w:hAnsi="Times New Roman"/>
          <w:i/>
        </w:rPr>
        <w:t xml:space="preserve"> </w:t>
      </w:r>
      <w:r w:rsidR="00F105B9">
        <w:rPr>
          <w:rFonts w:ascii="Times New Roman" w:hAnsi="Times New Roman"/>
          <w:i/>
        </w:rPr>
        <w:t>I</w:t>
      </w:r>
      <w:r w:rsidRPr="00271D95">
        <w:rPr>
          <w:rFonts w:ascii="Times New Roman" w:hAnsi="Times New Roman"/>
          <w:i/>
        </w:rPr>
        <w:t>d</w:t>
      </w:r>
      <w:r w:rsidR="00F105B9">
        <w:rPr>
          <w:rFonts w:ascii="Times New Roman" w:hAnsi="Times New Roman"/>
          <w:i/>
        </w:rPr>
        <w:t>.</w:t>
      </w:r>
    </w:p>
  </w:footnote>
  <w:footnote w:id="21">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83961">
        <w:rPr>
          <w:rFonts w:ascii="Times New Roman" w:hAnsi="Times New Roman"/>
          <w:i/>
        </w:rPr>
        <w:t xml:space="preserve"> </w:t>
      </w:r>
      <w:r w:rsidR="00983961">
        <w:rPr>
          <w:rFonts w:ascii="Times New Roman" w:hAnsi="Times New Roman"/>
        </w:rPr>
        <w:t>Muhammed-Mikaaeel</w:t>
      </w:r>
      <w:r w:rsidR="00983961">
        <w:rPr>
          <w:rFonts w:ascii="Times New Roman" w:hAnsi="Times New Roman"/>
          <w:i/>
        </w:rPr>
        <w:t xml:space="preserve">, </w:t>
      </w:r>
      <w:r w:rsidR="00983961" w:rsidRPr="00271D95">
        <w:rPr>
          <w:rFonts w:ascii="Times New Roman" w:hAnsi="Times New Roman"/>
          <w:i/>
        </w:rPr>
        <w:t>supra</w:t>
      </w:r>
      <w:r w:rsidR="00983961" w:rsidRPr="00271D95">
        <w:rPr>
          <w:rFonts w:ascii="Times New Roman" w:hAnsi="Times New Roman"/>
        </w:rPr>
        <w:t xml:space="preserve"> </w:t>
      </w:r>
      <w:r w:rsidR="00983961">
        <w:rPr>
          <w:rFonts w:ascii="Times New Roman" w:hAnsi="Times New Roman"/>
        </w:rPr>
        <w:t>note 3,</w:t>
      </w:r>
      <w:r w:rsidRPr="00271D95">
        <w:rPr>
          <w:rFonts w:ascii="Times New Roman" w:hAnsi="Times New Roman"/>
        </w:rPr>
        <w:t xml:space="preserve"> 4-5</w:t>
      </w:r>
    </w:p>
  </w:footnote>
  <w:footnote w:id="2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271D95">
        <w:rPr>
          <w:rFonts w:ascii="Times New Roman" w:hAnsi="Times New Roman"/>
        </w:rPr>
        <w:t xml:space="preserve"> The Constitution of the Federal Republic of Nigeria, 1991 (as amended), </w:t>
      </w:r>
      <w:r w:rsidRPr="00983961">
        <w:rPr>
          <w:rFonts w:ascii="Times New Roman" w:hAnsi="Times New Roman"/>
          <w:i/>
        </w:rPr>
        <w:t>s</w:t>
      </w:r>
      <w:r w:rsidRPr="00271D95">
        <w:rPr>
          <w:rFonts w:ascii="Times New Roman" w:hAnsi="Times New Roman"/>
        </w:rPr>
        <w:t xml:space="preserve">. 275 </w:t>
      </w:r>
    </w:p>
  </w:footnote>
  <w:footnote w:id="2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83961">
        <w:rPr>
          <w:rFonts w:ascii="Times New Roman" w:hAnsi="Times New Roman"/>
          <w:i/>
        </w:rPr>
        <w:t xml:space="preserve"> </w:t>
      </w:r>
      <w:r w:rsidRPr="00271D95">
        <w:rPr>
          <w:rFonts w:ascii="Times New Roman" w:hAnsi="Times New Roman"/>
          <w:i/>
        </w:rPr>
        <w:t>Id</w:t>
      </w:r>
      <w:r w:rsidR="00983961">
        <w:rPr>
          <w:rFonts w:ascii="Times New Roman" w:hAnsi="Times New Roman"/>
        </w:rPr>
        <w:t>.,</w:t>
      </w:r>
      <w:r w:rsidRPr="00271D95">
        <w:rPr>
          <w:rFonts w:ascii="Times New Roman" w:hAnsi="Times New Roman"/>
        </w:rPr>
        <w:t xml:space="preserve"> </w:t>
      </w:r>
      <w:r w:rsidRPr="00536421">
        <w:rPr>
          <w:rFonts w:ascii="Times New Roman" w:hAnsi="Times New Roman"/>
          <w:i/>
        </w:rPr>
        <w:t>s</w:t>
      </w:r>
      <w:r w:rsidRPr="00271D95">
        <w:rPr>
          <w:rFonts w:ascii="Times New Roman" w:hAnsi="Times New Roman"/>
        </w:rPr>
        <w:t>. 277 (1) and (2) (a)-(e)</w:t>
      </w:r>
    </w:p>
  </w:footnote>
  <w:footnote w:id="2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83961">
        <w:rPr>
          <w:rFonts w:ascii="Times New Roman" w:hAnsi="Times New Roman"/>
          <w:i/>
        </w:rPr>
        <w:t>I</w:t>
      </w:r>
      <w:r w:rsidRPr="00271D95">
        <w:rPr>
          <w:rFonts w:ascii="Times New Roman" w:hAnsi="Times New Roman"/>
          <w:i/>
        </w:rPr>
        <w:t>d</w:t>
      </w:r>
      <w:r w:rsidR="00983961">
        <w:rPr>
          <w:rFonts w:ascii="Times New Roman" w:hAnsi="Times New Roman"/>
          <w:i/>
        </w:rPr>
        <w:t>.</w:t>
      </w:r>
    </w:p>
  </w:footnote>
  <w:footnote w:id="2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155CE">
        <w:rPr>
          <w:rFonts w:ascii="Times New Roman" w:hAnsi="Times New Roman"/>
        </w:rPr>
        <w:t xml:space="preserve"> </w:t>
      </w:r>
      <w:r w:rsidR="00983961">
        <w:rPr>
          <w:rFonts w:ascii="Times New Roman" w:hAnsi="Times New Roman"/>
        </w:rPr>
        <w:t>Arzhang</w:t>
      </w:r>
      <w:r w:rsidR="00983961" w:rsidRPr="00271D95">
        <w:rPr>
          <w:rFonts w:ascii="Times New Roman" w:hAnsi="Times New Roman"/>
        </w:rPr>
        <w:t xml:space="preserve"> </w:t>
      </w:r>
      <w:r w:rsidR="00983961">
        <w:rPr>
          <w:rFonts w:ascii="Times New Roman" w:hAnsi="Times New Roman"/>
        </w:rPr>
        <w:t>&amp;</w:t>
      </w:r>
      <w:r w:rsidR="00983961" w:rsidRPr="00271D95">
        <w:rPr>
          <w:rFonts w:ascii="Times New Roman" w:hAnsi="Times New Roman"/>
        </w:rPr>
        <w:t xml:space="preserve"> </w:t>
      </w:r>
      <w:r w:rsidR="00983961">
        <w:rPr>
          <w:rFonts w:ascii="Times New Roman" w:hAnsi="Times New Roman"/>
        </w:rPr>
        <w:t>Arzhang,</w:t>
      </w:r>
      <w:r w:rsidR="00983961" w:rsidRPr="00271D95">
        <w:rPr>
          <w:rFonts w:ascii="Times New Roman" w:hAnsi="Times New Roman"/>
          <w:i/>
        </w:rPr>
        <w:t xml:space="preserve"> supra</w:t>
      </w:r>
      <w:r w:rsidR="00983961" w:rsidRPr="00271D95">
        <w:rPr>
          <w:rFonts w:ascii="Times New Roman" w:hAnsi="Times New Roman"/>
        </w:rPr>
        <w:t xml:space="preserve"> </w:t>
      </w:r>
      <w:r w:rsidR="00983961">
        <w:rPr>
          <w:rFonts w:ascii="Times New Roman" w:hAnsi="Times New Roman"/>
        </w:rPr>
        <w:t>note 8,</w:t>
      </w:r>
      <w:r w:rsidRPr="00271D95">
        <w:rPr>
          <w:rFonts w:ascii="Times New Roman" w:hAnsi="Times New Roman"/>
        </w:rPr>
        <w:t xml:space="preserve"> 296-298</w:t>
      </w:r>
    </w:p>
  </w:footnote>
  <w:footnote w:id="2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E155CE">
        <w:rPr>
          <w:rFonts w:ascii="Times New Roman" w:hAnsi="Times New Roman"/>
          <w:i/>
        </w:rPr>
        <w:t xml:space="preserve"> </w:t>
      </w:r>
      <w:r w:rsidR="00E155CE" w:rsidRPr="00271D95">
        <w:rPr>
          <w:rFonts w:ascii="Times New Roman" w:hAnsi="Times New Roman"/>
        </w:rPr>
        <w:t>Getso</w:t>
      </w:r>
      <w:r w:rsidR="00E155CE">
        <w:rPr>
          <w:rFonts w:ascii="Times New Roman" w:hAnsi="Times New Roman"/>
        </w:rPr>
        <w:t xml:space="preserve">, </w:t>
      </w:r>
      <w:r w:rsidR="00E155CE" w:rsidRPr="00271D95">
        <w:rPr>
          <w:rFonts w:ascii="Times New Roman" w:hAnsi="Times New Roman"/>
          <w:i/>
        </w:rPr>
        <w:t>supra</w:t>
      </w:r>
      <w:r w:rsidR="00E155CE" w:rsidRPr="00271D95">
        <w:rPr>
          <w:rFonts w:ascii="Times New Roman" w:hAnsi="Times New Roman"/>
        </w:rPr>
        <w:t xml:space="preserve"> </w:t>
      </w:r>
      <w:r w:rsidR="00E155CE">
        <w:rPr>
          <w:rFonts w:ascii="Times New Roman" w:hAnsi="Times New Roman"/>
        </w:rPr>
        <w:t xml:space="preserve">note 5, </w:t>
      </w:r>
      <w:r w:rsidRPr="00271D95">
        <w:rPr>
          <w:rFonts w:ascii="Times New Roman" w:hAnsi="Times New Roman"/>
        </w:rPr>
        <w:t>76-77</w:t>
      </w:r>
    </w:p>
  </w:footnote>
  <w:footnote w:id="2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433C84">
        <w:rPr>
          <w:rFonts w:ascii="Times New Roman" w:hAnsi="Times New Roman"/>
          <w:i/>
        </w:rPr>
        <w:t>See generally,</w:t>
      </w:r>
      <w:r w:rsidRPr="00271D95">
        <w:rPr>
          <w:rFonts w:ascii="Times New Roman" w:hAnsi="Times New Roman"/>
        </w:rPr>
        <w:t xml:space="preserve"> </w:t>
      </w:r>
      <w:r w:rsidR="00433C84" w:rsidRPr="00271D95">
        <w:rPr>
          <w:rFonts w:ascii="Times New Roman" w:hAnsi="Times New Roman"/>
        </w:rPr>
        <w:t xml:space="preserve">The </w:t>
      </w:r>
      <w:r w:rsidRPr="00271D95">
        <w:rPr>
          <w:rFonts w:ascii="Times New Roman" w:hAnsi="Times New Roman"/>
        </w:rPr>
        <w:t xml:space="preserve">Limitation </w:t>
      </w:r>
      <w:r w:rsidR="00433C84" w:rsidRPr="00271D95">
        <w:rPr>
          <w:rFonts w:ascii="Times New Roman" w:hAnsi="Times New Roman"/>
        </w:rPr>
        <w:t xml:space="preserve">Law </w:t>
      </w:r>
      <w:r w:rsidRPr="00271D95">
        <w:rPr>
          <w:rFonts w:ascii="Times New Roman" w:hAnsi="Times New Roman"/>
        </w:rPr>
        <w:t>of Lagos State, 2015 available at:</w:t>
      </w:r>
      <w:r w:rsidR="00433C84">
        <w:rPr>
          <w:rFonts w:ascii="Times New Roman" w:hAnsi="Times New Roman"/>
        </w:rPr>
        <w:t xml:space="preserve"> </w:t>
      </w:r>
      <w:hyperlink r:id="rId3" w:history="1">
        <w:r w:rsidRPr="00271D95">
          <w:rPr>
            <w:rStyle w:val="Hyperlink"/>
            <w:rFonts w:ascii="Times New Roman" w:hAnsi="Times New Roman"/>
          </w:rPr>
          <w:t>https://laws.lawnigeria.com/2020/05/15/limitation-law-of-lagos-state/</w:t>
        </w:r>
      </w:hyperlink>
      <w:r w:rsidR="00433C84">
        <w:t xml:space="preserve"> </w:t>
      </w:r>
      <w:r w:rsidRPr="00271D95">
        <w:rPr>
          <w:rFonts w:ascii="Times New Roman" w:hAnsi="Times New Roman"/>
        </w:rPr>
        <w:t>(last visited on November 9, 2022).</w:t>
      </w:r>
      <w:r w:rsidR="00433C84">
        <w:rPr>
          <w:rFonts w:ascii="Times New Roman" w:hAnsi="Times New Roman"/>
        </w:rPr>
        <w:t xml:space="preserve"> (</w:t>
      </w:r>
      <w:r w:rsidR="00433C84" w:rsidRPr="00271D95">
        <w:rPr>
          <w:rFonts w:ascii="Times New Roman" w:hAnsi="Times New Roman"/>
        </w:rPr>
        <w:t xml:space="preserve">This is clearly demonstrated by the various </w:t>
      </w:r>
      <w:r w:rsidR="00311BA6" w:rsidRPr="00271D95">
        <w:rPr>
          <w:rFonts w:ascii="Times New Roman" w:hAnsi="Times New Roman"/>
        </w:rPr>
        <w:t xml:space="preserve">Limitation </w:t>
      </w:r>
      <w:r w:rsidR="00433C84" w:rsidRPr="00271D95">
        <w:rPr>
          <w:rFonts w:ascii="Times New Roman" w:hAnsi="Times New Roman"/>
        </w:rPr>
        <w:t xml:space="preserve">Laws of the different States of the </w:t>
      </w:r>
      <w:r w:rsidR="00311BA6" w:rsidRPr="00271D95">
        <w:rPr>
          <w:rFonts w:ascii="Times New Roman" w:hAnsi="Times New Roman"/>
        </w:rPr>
        <w:t xml:space="preserve">Federation </w:t>
      </w:r>
      <w:r w:rsidR="00433C84" w:rsidRPr="00271D95">
        <w:rPr>
          <w:rFonts w:ascii="Times New Roman" w:hAnsi="Times New Roman"/>
        </w:rPr>
        <w:t>as per land matters, contract, and commercial transactions, actions against public officer, etc.</w:t>
      </w:r>
      <w:r w:rsidR="00433C84">
        <w:rPr>
          <w:rFonts w:ascii="Times New Roman" w:hAnsi="Times New Roman"/>
        </w:rPr>
        <w:t>)</w:t>
      </w:r>
    </w:p>
  </w:footnote>
  <w:footnote w:id="2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F1464E">
        <w:rPr>
          <w:rFonts w:ascii="Times New Roman" w:hAnsi="Times New Roman"/>
          <w:i/>
        </w:rPr>
        <w:t xml:space="preserve"> </w:t>
      </w:r>
      <w:r w:rsidR="00F1464E" w:rsidRPr="00271D95">
        <w:rPr>
          <w:rFonts w:ascii="Times New Roman" w:hAnsi="Times New Roman"/>
        </w:rPr>
        <w:t>Zubair,</w:t>
      </w:r>
      <w:r w:rsidR="00F1464E">
        <w:rPr>
          <w:rFonts w:ascii="Times New Roman" w:hAnsi="Times New Roman"/>
        </w:rPr>
        <w:t xml:space="preserve"> </w:t>
      </w:r>
      <w:r w:rsidR="00F1464E" w:rsidRPr="00271D95">
        <w:rPr>
          <w:rFonts w:ascii="Times New Roman" w:hAnsi="Times New Roman"/>
          <w:i/>
        </w:rPr>
        <w:t>supra</w:t>
      </w:r>
      <w:r w:rsidR="00F1464E" w:rsidRPr="00271D95">
        <w:rPr>
          <w:rFonts w:ascii="Times New Roman" w:hAnsi="Times New Roman"/>
        </w:rPr>
        <w:t xml:space="preserve"> </w:t>
      </w:r>
      <w:r w:rsidRPr="00271D95">
        <w:rPr>
          <w:rFonts w:ascii="Times New Roman" w:hAnsi="Times New Roman"/>
        </w:rPr>
        <w:t>note 10</w:t>
      </w:r>
    </w:p>
  </w:footnote>
  <w:footnote w:id="2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F1464E">
        <w:rPr>
          <w:rFonts w:ascii="Times New Roman" w:hAnsi="Times New Roman"/>
          <w:i/>
        </w:rPr>
        <w:t xml:space="preserve"> </w:t>
      </w:r>
      <w:r w:rsidR="00F1464E" w:rsidRPr="00271D95">
        <w:rPr>
          <w:rFonts w:ascii="Times New Roman" w:hAnsi="Times New Roman"/>
        </w:rPr>
        <w:t>Getso</w:t>
      </w:r>
      <w:r w:rsidR="00F1464E">
        <w:rPr>
          <w:rFonts w:ascii="Times New Roman" w:hAnsi="Times New Roman"/>
        </w:rPr>
        <w:t xml:space="preserve">, </w:t>
      </w:r>
      <w:r w:rsidR="00F1464E" w:rsidRPr="00271D95">
        <w:rPr>
          <w:rFonts w:ascii="Times New Roman" w:hAnsi="Times New Roman"/>
          <w:i/>
        </w:rPr>
        <w:t>supra</w:t>
      </w:r>
      <w:r w:rsidR="00F1464E" w:rsidRPr="00271D95">
        <w:rPr>
          <w:rFonts w:ascii="Times New Roman" w:hAnsi="Times New Roman"/>
        </w:rPr>
        <w:t xml:space="preserve"> </w:t>
      </w:r>
      <w:r w:rsidR="00F1464E">
        <w:rPr>
          <w:rFonts w:ascii="Times New Roman" w:hAnsi="Times New Roman"/>
        </w:rPr>
        <w:t>note 5,</w:t>
      </w:r>
      <w:r w:rsidRPr="00271D95">
        <w:rPr>
          <w:rFonts w:ascii="Times New Roman" w:hAnsi="Times New Roman"/>
        </w:rPr>
        <w:t xml:space="preserve"> 76-78 </w:t>
      </w:r>
    </w:p>
  </w:footnote>
  <w:footnote w:id="3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i/>
        </w:rPr>
        <w:t xml:space="preserve"> </w:t>
      </w:r>
      <w:r w:rsidR="00F1464E">
        <w:rPr>
          <w:rFonts w:ascii="Times New Roman" w:hAnsi="Times New Roman"/>
          <w:i/>
        </w:rPr>
        <w:t>I</w:t>
      </w:r>
      <w:r w:rsidRPr="00271D95">
        <w:rPr>
          <w:rFonts w:ascii="Times New Roman" w:hAnsi="Times New Roman"/>
          <w:i/>
        </w:rPr>
        <w:t>d</w:t>
      </w:r>
      <w:r w:rsidR="00F1464E">
        <w:rPr>
          <w:rFonts w:ascii="Times New Roman" w:hAnsi="Times New Roman"/>
          <w:i/>
        </w:rPr>
        <w:t>.</w:t>
      </w:r>
    </w:p>
  </w:footnote>
  <w:footnote w:id="31">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i/>
        </w:rPr>
        <w:t xml:space="preserve"> </w:t>
      </w:r>
      <w:r w:rsidR="00F1464E">
        <w:rPr>
          <w:rFonts w:ascii="Times New Roman" w:hAnsi="Times New Roman"/>
          <w:i/>
        </w:rPr>
        <w:t>I</w:t>
      </w:r>
      <w:r w:rsidRPr="00271D95">
        <w:rPr>
          <w:rFonts w:ascii="Times New Roman" w:hAnsi="Times New Roman"/>
          <w:i/>
        </w:rPr>
        <w:t>d</w:t>
      </w:r>
      <w:r w:rsidR="00F1464E">
        <w:rPr>
          <w:rFonts w:ascii="Times New Roman" w:hAnsi="Times New Roman"/>
          <w:i/>
        </w:rPr>
        <w:t>.</w:t>
      </w:r>
    </w:p>
  </w:footnote>
  <w:footnote w:id="3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111B2">
        <w:rPr>
          <w:rFonts w:ascii="Times New Roman" w:hAnsi="Times New Roman"/>
          <w:i/>
        </w:rPr>
        <w:t xml:space="preserve"> </w:t>
      </w:r>
      <w:r w:rsidRPr="00271D95">
        <w:rPr>
          <w:rFonts w:ascii="Times New Roman" w:hAnsi="Times New Roman"/>
          <w:i/>
        </w:rPr>
        <w:t>Id</w:t>
      </w:r>
      <w:r w:rsidR="00F1464E">
        <w:rPr>
          <w:rFonts w:ascii="Times New Roman" w:hAnsi="Times New Roman"/>
        </w:rPr>
        <w:t>.,</w:t>
      </w:r>
      <w:r w:rsidRPr="00271D95">
        <w:rPr>
          <w:rFonts w:ascii="Times New Roman" w:hAnsi="Times New Roman"/>
        </w:rPr>
        <w:t xml:space="preserve"> 76-77 </w:t>
      </w:r>
    </w:p>
  </w:footnote>
  <w:footnote w:id="3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111B2">
        <w:rPr>
          <w:rFonts w:ascii="Times New Roman" w:hAnsi="Times New Roman"/>
          <w:i/>
        </w:rPr>
        <w:t xml:space="preserve"> </w:t>
      </w:r>
      <w:r w:rsidR="00F1464E">
        <w:rPr>
          <w:rFonts w:ascii="Times New Roman" w:hAnsi="Times New Roman"/>
          <w:i/>
        </w:rPr>
        <w:t>I</w:t>
      </w:r>
      <w:r w:rsidRPr="00271D95">
        <w:rPr>
          <w:rFonts w:ascii="Times New Roman" w:hAnsi="Times New Roman"/>
          <w:i/>
        </w:rPr>
        <w:t>d</w:t>
      </w:r>
      <w:r w:rsidR="00F1464E">
        <w:rPr>
          <w:rFonts w:ascii="Times New Roman" w:hAnsi="Times New Roman"/>
          <w:i/>
        </w:rPr>
        <w:t>.</w:t>
      </w:r>
    </w:p>
  </w:footnote>
  <w:footnote w:id="3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F1464E">
        <w:rPr>
          <w:rFonts w:ascii="Times New Roman" w:hAnsi="Times New Roman"/>
          <w:i/>
        </w:rPr>
        <w:t xml:space="preserve"> </w:t>
      </w:r>
      <w:r w:rsidRPr="00271D95">
        <w:rPr>
          <w:rFonts w:ascii="Times New Roman" w:hAnsi="Times New Roman"/>
          <w:i/>
        </w:rPr>
        <w:t>Iya</w:t>
      </w:r>
      <w:r w:rsidR="00597E2B">
        <w:rPr>
          <w:rFonts w:ascii="Times New Roman" w:hAnsi="Times New Roman"/>
          <w:i/>
        </w:rPr>
        <w:t xml:space="preserve"> Maiwana v</w:t>
      </w:r>
      <w:r w:rsidRPr="00271D95">
        <w:rPr>
          <w:rFonts w:ascii="Times New Roman" w:hAnsi="Times New Roman"/>
          <w:i/>
        </w:rPr>
        <w:t xml:space="preserve">. Mamman Captain </w:t>
      </w:r>
      <w:r w:rsidRPr="00271D95">
        <w:rPr>
          <w:rFonts w:ascii="Times New Roman" w:hAnsi="Times New Roman"/>
        </w:rPr>
        <w:t>1961-1989 1 SH L.R.N.P. 8, 10-11</w:t>
      </w:r>
    </w:p>
  </w:footnote>
  <w:footnote w:id="3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F1464E">
        <w:rPr>
          <w:rFonts w:ascii="Times New Roman" w:hAnsi="Times New Roman"/>
        </w:rPr>
        <w:t xml:space="preserve"> Muhammad S. Dabas &amp;</w:t>
      </w:r>
      <w:r w:rsidRPr="00271D95">
        <w:rPr>
          <w:rFonts w:ascii="Times New Roman" w:hAnsi="Times New Roman"/>
        </w:rPr>
        <w:t xml:space="preserve"> Jamal al-din</w:t>
      </w:r>
      <w:r w:rsidR="00F1464E">
        <w:rPr>
          <w:rFonts w:ascii="Times New Roman" w:hAnsi="Times New Roman"/>
        </w:rPr>
        <w:t xml:space="preserve"> M. Zarabozo</w:t>
      </w:r>
      <w:r w:rsidRPr="00271D95">
        <w:rPr>
          <w:rFonts w:ascii="Times New Roman" w:hAnsi="Times New Roman"/>
        </w:rPr>
        <w:t xml:space="preserve">, </w:t>
      </w:r>
      <w:r w:rsidRPr="00F1464E">
        <w:rPr>
          <w:rFonts w:ascii="Times New Roman" w:hAnsi="Times New Roman"/>
        </w:rPr>
        <w:t>Fiqh us-Sunnah Volume A 18</w:t>
      </w:r>
      <w:r w:rsidR="00F1464E">
        <w:rPr>
          <w:rFonts w:ascii="Times New Roman" w:hAnsi="Times New Roman"/>
        </w:rPr>
        <w:t xml:space="preserve">, </w:t>
      </w:r>
      <w:r w:rsidRPr="00271D95">
        <w:rPr>
          <w:rFonts w:ascii="Times New Roman" w:hAnsi="Times New Roman"/>
        </w:rPr>
        <w:t xml:space="preserve">Indiana, USA: American Trust Publications, </w:t>
      </w:r>
      <w:r w:rsidR="00F1464E">
        <w:rPr>
          <w:rFonts w:ascii="Times New Roman" w:hAnsi="Times New Roman"/>
        </w:rPr>
        <w:t>(1991</w:t>
      </w:r>
      <w:r w:rsidRPr="00271D95">
        <w:rPr>
          <w:rFonts w:ascii="Times New Roman" w:hAnsi="Times New Roman"/>
        </w:rPr>
        <w:t>).</w:t>
      </w:r>
    </w:p>
  </w:footnote>
  <w:footnote w:id="3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111B2">
        <w:rPr>
          <w:rFonts w:ascii="Times New Roman" w:hAnsi="Times New Roman"/>
        </w:rPr>
        <w:t xml:space="preserve">Lyria B. Moses </w:t>
      </w:r>
      <w:r w:rsidRPr="00D111B2">
        <w:rPr>
          <w:rFonts w:ascii="Times New Roman" w:hAnsi="Times New Roman"/>
          <w:i/>
        </w:rPr>
        <w:t>Sui Generis Rules</w:t>
      </w:r>
      <w:r w:rsidR="00D111B2">
        <w:rPr>
          <w:rFonts w:ascii="Times New Roman" w:hAnsi="Times New Roman"/>
        </w:rPr>
        <w:t>,</w:t>
      </w:r>
      <w:r w:rsidRPr="00271D95">
        <w:rPr>
          <w:rFonts w:ascii="Times New Roman" w:hAnsi="Times New Roman"/>
        </w:rPr>
        <w:t xml:space="preserve"> available at &lt;htpps://www.researchgate.net/publication/226946010_Sui_Generis_Rules&gt;</w:t>
      </w:r>
      <w:r w:rsidR="00D111B2">
        <w:rPr>
          <w:rFonts w:ascii="Times New Roman" w:hAnsi="Times New Roman"/>
        </w:rPr>
        <w:t xml:space="preserve"> </w:t>
      </w:r>
      <w:r w:rsidRPr="00271D95">
        <w:rPr>
          <w:rFonts w:ascii="Times New Roman" w:hAnsi="Times New Roman"/>
        </w:rPr>
        <w:t xml:space="preserve">(last visited on November 29, 2022). </w:t>
      </w:r>
    </w:p>
  </w:footnote>
  <w:footnote w:id="3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370110" w:rsidRPr="003566E3">
        <w:rPr>
          <w:rFonts w:ascii="Times New Roman" w:hAnsi="Times New Roman"/>
          <w:i/>
        </w:rPr>
        <w:t xml:space="preserve"> Mamman Captain</w:t>
      </w:r>
      <w:r w:rsidR="003566E3">
        <w:rPr>
          <w:rFonts w:ascii="Times New Roman" w:hAnsi="Times New Roman"/>
          <w:i/>
        </w:rPr>
        <w:t>,</w:t>
      </w:r>
      <w:r w:rsidR="00370110" w:rsidRPr="00271D95">
        <w:rPr>
          <w:rFonts w:ascii="Times New Roman" w:hAnsi="Times New Roman"/>
          <w:i/>
        </w:rPr>
        <w:t xml:space="preserve"> </w:t>
      </w:r>
      <w:r w:rsidR="003566E3" w:rsidRPr="00271D95">
        <w:rPr>
          <w:rFonts w:ascii="Times New Roman" w:hAnsi="Times New Roman"/>
          <w:i/>
        </w:rPr>
        <w:t xml:space="preserve">supra </w:t>
      </w:r>
      <w:r w:rsidRPr="00271D95">
        <w:rPr>
          <w:rFonts w:ascii="Times New Roman" w:hAnsi="Times New Roman"/>
        </w:rPr>
        <w:t>note 34</w:t>
      </w:r>
    </w:p>
  </w:footnote>
  <w:footnote w:id="3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3566E3">
        <w:rPr>
          <w:rFonts w:ascii="Times New Roman" w:hAnsi="Times New Roman"/>
          <w:i/>
        </w:rPr>
        <w:t xml:space="preserve"> </w:t>
      </w:r>
      <w:r w:rsidR="003566E3">
        <w:rPr>
          <w:rFonts w:ascii="Times New Roman" w:hAnsi="Times New Roman"/>
        </w:rPr>
        <w:t>Dabas &amp;</w:t>
      </w:r>
      <w:r w:rsidR="003566E3" w:rsidRPr="00271D95">
        <w:rPr>
          <w:rFonts w:ascii="Times New Roman" w:hAnsi="Times New Roman"/>
        </w:rPr>
        <w:t xml:space="preserve"> </w:t>
      </w:r>
      <w:r w:rsidR="003566E3">
        <w:rPr>
          <w:rFonts w:ascii="Times New Roman" w:hAnsi="Times New Roman"/>
        </w:rPr>
        <w:t>M. Zarabozo</w:t>
      </w:r>
      <w:r w:rsidR="003566E3" w:rsidRPr="00271D95">
        <w:rPr>
          <w:rFonts w:ascii="Times New Roman" w:hAnsi="Times New Roman"/>
        </w:rPr>
        <w:t xml:space="preserve">, </w:t>
      </w:r>
      <w:r w:rsidR="003566E3" w:rsidRPr="00271D95">
        <w:rPr>
          <w:rFonts w:ascii="Times New Roman" w:hAnsi="Times New Roman"/>
          <w:i/>
        </w:rPr>
        <w:t>supra</w:t>
      </w:r>
      <w:r w:rsidR="003566E3" w:rsidRPr="00271D95">
        <w:rPr>
          <w:rFonts w:ascii="Times New Roman" w:hAnsi="Times New Roman"/>
        </w:rPr>
        <w:t xml:space="preserve"> </w:t>
      </w:r>
      <w:r w:rsidRPr="00271D95">
        <w:rPr>
          <w:rFonts w:ascii="Times New Roman" w:hAnsi="Times New Roman"/>
        </w:rPr>
        <w:t xml:space="preserve">note 35 </w:t>
      </w:r>
    </w:p>
  </w:footnote>
  <w:footnote w:id="3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271D95">
        <w:rPr>
          <w:rFonts w:ascii="Times New Roman" w:hAnsi="Times New Roman"/>
          <w:i/>
        </w:rPr>
        <w:t xml:space="preserve"> </w:t>
      </w:r>
      <w:r w:rsidR="003566E3" w:rsidRPr="003566E3">
        <w:rPr>
          <w:rFonts w:ascii="Times New Roman" w:hAnsi="Times New Roman"/>
          <w:i/>
        </w:rPr>
        <w:t>Mamman Captain</w:t>
      </w:r>
      <w:r w:rsidR="003566E3">
        <w:rPr>
          <w:rFonts w:ascii="Times New Roman" w:hAnsi="Times New Roman"/>
          <w:i/>
        </w:rPr>
        <w:t>,</w:t>
      </w:r>
      <w:r w:rsidR="003566E3" w:rsidRPr="00271D95">
        <w:rPr>
          <w:rFonts w:ascii="Times New Roman" w:hAnsi="Times New Roman"/>
          <w:i/>
        </w:rPr>
        <w:t xml:space="preserve"> supra </w:t>
      </w:r>
      <w:r w:rsidR="003566E3" w:rsidRPr="00271D95">
        <w:rPr>
          <w:rFonts w:ascii="Times New Roman" w:hAnsi="Times New Roman"/>
        </w:rPr>
        <w:t>note 34</w:t>
      </w:r>
    </w:p>
  </w:footnote>
  <w:footnote w:id="4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842A33">
        <w:rPr>
          <w:rFonts w:ascii="Times New Roman" w:hAnsi="Times New Roman"/>
          <w:i/>
        </w:rPr>
        <w:t xml:space="preserve"> </w:t>
      </w:r>
      <w:r w:rsidR="00842A33" w:rsidRPr="00271D95">
        <w:rPr>
          <w:rFonts w:ascii="Times New Roman" w:hAnsi="Times New Roman"/>
        </w:rPr>
        <w:t>Quran,</w:t>
      </w:r>
      <w:r w:rsidR="00842A33">
        <w:rPr>
          <w:rFonts w:ascii="Times New Roman" w:hAnsi="Times New Roman"/>
        </w:rPr>
        <w:t xml:space="preserve"> </w:t>
      </w:r>
      <w:r w:rsidR="00842A33" w:rsidRPr="00271D95">
        <w:rPr>
          <w:rFonts w:ascii="Times New Roman" w:hAnsi="Times New Roman"/>
        </w:rPr>
        <w:t xml:space="preserve">Surah </w:t>
      </w:r>
      <w:r w:rsidR="00842A33" w:rsidRPr="00271D95">
        <w:rPr>
          <w:rFonts w:ascii="Times New Roman" w:hAnsi="Times New Roman"/>
          <w:i/>
        </w:rPr>
        <w:t>An-Nisa</w:t>
      </w:r>
      <w:r w:rsidR="00842A33">
        <w:rPr>
          <w:rFonts w:ascii="Times New Roman" w:hAnsi="Times New Roman"/>
          <w:i/>
        </w:rPr>
        <w:t>,</w:t>
      </w:r>
      <w:r w:rsidR="00842A33" w:rsidRPr="00271D95">
        <w:rPr>
          <w:rFonts w:ascii="Times New Roman" w:hAnsi="Times New Roman"/>
          <w:i/>
        </w:rPr>
        <w:t xml:space="preserve"> supra</w:t>
      </w:r>
      <w:r w:rsidR="00842A33" w:rsidRPr="00271D95">
        <w:rPr>
          <w:rFonts w:ascii="Times New Roman" w:hAnsi="Times New Roman"/>
        </w:rPr>
        <w:t xml:space="preserve"> </w:t>
      </w:r>
      <w:r w:rsidR="00842A33">
        <w:rPr>
          <w:rFonts w:ascii="Times New Roman" w:hAnsi="Times New Roman"/>
        </w:rPr>
        <w:t>note 2,</w:t>
      </w:r>
      <w:r w:rsidRPr="00271D95">
        <w:rPr>
          <w:rFonts w:ascii="Times New Roman" w:hAnsi="Times New Roman"/>
        </w:rPr>
        <w:t xml:space="preserve"> 13-14</w:t>
      </w:r>
    </w:p>
  </w:footnote>
  <w:footnote w:id="41">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i/>
        </w:rPr>
        <w:t xml:space="preserve"> I</w:t>
      </w:r>
      <w:r w:rsidRPr="00271D95">
        <w:rPr>
          <w:rFonts w:ascii="Times New Roman" w:hAnsi="Times New Roman"/>
          <w:i/>
        </w:rPr>
        <w:t>d</w:t>
      </w:r>
      <w:r w:rsidR="00164A69">
        <w:rPr>
          <w:rFonts w:ascii="Times New Roman" w:hAnsi="Times New Roman"/>
          <w:i/>
        </w:rPr>
        <w:t>.</w:t>
      </w:r>
    </w:p>
  </w:footnote>
  <w:footnote w:id="4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rPr>
        <w:t xml:space="preserve"> Hayatullah Laluddin, et al, </w:t>
      </w:r>
      <w:r w:rsidRPr="00164A69">
        <w:rPr>
          <w:rFonts w:ascii="Times New Roman" w:hAnsi="Times New Roman"/>
          <w:i/>
        </w:rPr>
        <w:t>Property and Ownership Right from an Islamic Perspective</w:t>
      </w:r>
      <w:r w:rsidR="00164A69">
        <w:rPr>
          <w:rFonts w:ascii="Times New Roman" w:hAnsi="Times New Roman"/>
        </w:rPr>
        <w:t>,</w:t>
      </w:r>
      <w:r w:rsidRPr="00271D95">
        <w:rPr>
          <w:rFonts w:ascii="Times New Roman" w:hAnsi="Times New Roman"/>
        </w:rPr>
        <w:t xml:space="preserve"> 6</w:t>
      </w:r>
      <w:r w:rsidR="00164A69">
        <w:rPr>
          <w:rFonts w:ascii="Times New Roman" w:hAnsi="Times New Roman"/>
        </w:rPr>
        <w:t xml:space="preserve"> </w:t>
      </w:r>
      <w:r w:rsidRPr="00271D95">
        <w:rPr>
          <w:rFonts w:ascii="Times New Roman" w:hAnsi="Times New Roman"/>
        </w:rPr>
        <w:t>(7)</w:t>
      </w:r>
      <w:r w:rsidR="00271D95">
        <w:rPr>
          <w:rFonts w:ascii="Times New Roman" w:hAnsi="Times New Roman"/>
        </w:rPr>
        <w:t xml:space="preserve"> </w:t>
      </w:r>
      <w:r w:rsidRPr="00164A69">
        <w:rPr>
          <w:rFonts w:ascii="Times New Roman" w:hAnsi="Times New Roman"/>
        </w:rPr>
        <w:t>Advances in Natural and Applied Sciences</w:t>
      </w:r>
      <w:r w:rsidR="00164A69">
        <w:rPr>
          <w:rFonts w:ascii="Times New Roman" w:hAnsi="Times New Roman"/>
        </w:rPr>
        <w:t xml:space="preserve"> </w:t>
      </w:r>
      <w:r w:rsidRPr="00271D95">
        <w:rPr>
          <w:rFonts w:ascii="Times New Roman" w:hAnsi="Times New Roman"/>
        </w:rPr>
        <w:t>1125-1129 (2012).</w:t>
      </w:r>
    </w:p>
  </w:footnote>
  <w:footnote w:id="4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i/>
        </w:rPr>
        <w:t xml:space="preserve"> I</w:t>
      </w:r>
      <w:r w:rsidRPr="00271D95">
        <w:rPr>
          <w:rFonts w:ascii="Times New Roman" w:hAnsi="Times New Roman"/>
          <w:i/>
        </w:rPr>
        <w:t>d</w:t>
      </w:r>
      <w:r w:rsidR="00164A69">
        <w:rPr>
          <w:rFonts w:ascii="Times New Roman" w:hAnsi="Times New Roman"/>
          <w:i/>
        </w:rPr>
        <w:t>.</w:t>
      </w:r>
    </w:p>
  </w:footnote>
  <w:footnote w:id="4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164A69">
        <w:rPr>
          <w:rFonts w:ascii="Times New Roman" w:hAnsi="Times New Roman"/>
          <w:i/>
        </w:rPr>
        <w:t xml:space="preserve"> </w:t>
      </w:r>
      <w:r w:rsidR="007D2129" w:rsidRPr="00271D95">
        <w:rPr>
          <w:rFonts w:ascii="Times New Roman" w:hAnsi="Times New Roman"/>
        </w:rPr>
        <w:t>Quran,</w:t>
      </w:r>
      <w:r w:rsidR="007D2129">
        <w:rPr>
          <w:rFonts w:ascii="Times New Roman" w:hAnsi="Times New Roman"/>
        </w:rPr>
        <w:t xml:space="preserve"> </w:t>
      </w:r>
      <w:r w:rsidR="007D2129" w:rsidRPr="00271D95">
        <w:rPr>
          <w:rFonts w:ascii="Times New Roman" w:hAnsi="Times New Roman"/>
        </w:rPr>
        <w:t xml:space="preserve">Surah </w:t>
      </w:r>
      <w:r w:rsidR="007D2129" w:rsidRPr="00271D95">
        <w:rPr>
          <w:rFonts w:ascii="Times New Roman" w:hAnsi="Times New Roman"/>
          <w:i/>
        </w:rPr>
        <w:t>An-Nisa</w:t>
      </w:r>
      <w:r w:rsidR="007D2129">
        <w:rPr>
          <w:rFonts w:ascii="Times New Roman" w:hAnsi="Times New Roman"/>
          <w:i/>
        </w:rPr>
        <w:t>,</w:t>
      </w:r>
      <w:r w:rsidR="007D2129" w:rsidRPr="00271D95">
        <w:rPr>
          <w:rFonts w:ascii="Times New Roman" w:hAnsi="Times New Roman"/>
          <w:i/>
        </w:rPr>
        <w:t xml:space="preserve"> supra</w:t>
      </w:r>
      <w:r w:rsidR="007D2129">
        <w:rPr>
          <w:rFonts w:ascii="Times New Roman" w:hAnsi="Times New Roman"/>
        </w:rPr>
        <w:t xml:space="preserve"> note 2,</w:t>
      </w:r>
      <w:r w:rsidR="007D2129" w:rsidRPr="00271D95">
        <w:rPr>
          <w:rFonts w:ascii="Times New Roman" w:hAnsi="Times New Roman"/>
        </w:rPr>
        <w:t xml:space="preserve"> </w:t>
      </w:r>
      <w:r w:rsidR="00BC275C">
        <w:rPr>
          <w:rFonts w:ascii="Times New Roman" w:hAnsi="Times New Roman"/>
        </w:rPr>
        <w:t>12,</w:t>
      </w:r>
      <w:r w:rsidRPr="00271D95">
        <w:rPr>
          <w:rFonts w:ascii="Times New Roman" w:hAnsi="Times New Roman"/>
        </w:rPr>
        <w:t xml:space="preserve"> 176. </w:t>
      </w:r>
    </w:p>
  </w:footnote>
  <w:footnote w:id="4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70DC9">
        <w:rPr>
          <w:rFonts w:ascii="Times New Roman" w:hAnsi="Times New Roman"/>
        </w:rPr>
        <w:t xml:space="preserve"> </w:t>
      </w:r>
      <w:r w:rsidR="007D7DBA">
        <w:rPr>
          <w:rFonts w:ascii="Times New Roman" w:hAnsi="Times New Roman"/>
        </w:rPr>
        <w:t xml:space="preserve">Abdulmumini </w:t>
      </w:r>
      <w:r w:rsidR="007A55CD">
        <w:rPr>
          <w:rFonts w:ascii="Times New Roman" w:hAnsi="Times New Roman"/>
        </w:rPr>
        <w:t xml:space="preserve">A. Oba, </w:t>
      </w:r>
      <w:r w:rsidRPr="007A55CD">
        <w:rPr>
          <w:rFonts w:ascii="Times New Roman" w:hAnsi="Times New Roman"/>
          <w:i/>
        </w:rPr>
        <w:t>Lawyers, Legal Education and the Shari’ah Courts in Nigeria</w:t>
      </w:r>
      <w:r w:rsidR="007A55CD">
        <w:rPr>
          <w:rFonts w:ascii="Times New Roman" w:hAnsi="Times New Roman"/>
        </w:rPr>
        <w:t>,</w:t>
      </w:r>
      <w:r w:rsidRPr="00271D95">
        <w:rPr>
          <w:rFonts w:ascii="Times New Roman" w:hAnsi="Times New Roman"/>
        </w:rPr>
        <w:t xml:space="preserve"> </w:t>
      </w:r>
      <w:r w:rsidR="00271D95">
        <w:rPr>
          <w:rFonts w:ascii="Times New Roman" w:hAnsi="Times New Roman"/>
        </w:rPr>
        <w:t xml:space="preserve">113-153, available </w:t>
      </w:r>
      <w:r w:rsidRPr="00271D95">
        <w:rPr>
          <w:rFonts w:ascii="Times New Roman" w:hAnsi="Times New Roman"/>
        </w:rPr>
        <w:t>at:</w:t>
      </w:r>
      <w:r w:rsidR="00271D95">
        <w:rPr>
          <w:rFonts w:ascii="Times New Roman" w:hAnsi="Times New Roman"/>
        </w:rPr>
        <w:t xml:space="preserve"> </w:t>
      </w:r>
      <w:hyperlink r:id="rId4" w:history="1">
        <w:r w:rsidRPr="00271D95">
          <w:rPr>
            <w:rStyle w:val="Hyperlink"/>
            <w:rFonts w:ascii="Times New Roman" w:hAnsi="Times New Roman"/>
          </w:rPr>
          <w:t>https://commission-on-legal-pluralism.com/system/commission-on-legal-pluralism.com/system/commission//volumes/49/oba-art.pdf</w:t>
        </w:r>
      </w:hyperlink>
      <w:r w:rsidR="007A55CD">
        <w:t xml:space="preserve"> </w:t>
      </w:r>
      <w:r w:rsidRPr="00271D95">
        <w:rPr>
          <w:rFonts w:ascii="Times New Roman" w:hAnsi="Times New Roman"/>
        </w:rPr>
        <w:t>(last visited on November 10, 2022).</w:t>
      </w:r>
    </w:p>
  </w:footnote>
  <w:footnote w:id="4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D70DC9">
        <w:rPr>
          <w:rFonts w:ascii="Times New Roman" w:hAnsi="Times New Roman"/>
          <w:i/>
        </w:rPr>
        <w:t xml:space="preserve"> </w:t>
      </w:r>
      <w:r w:rsidR="00D70DC9" w:rsidRPr="00271D95">
        <w:rPr>
          <w:rFonts w:ascii="Times New Roman" w:hAnsi="Times New Roman"/>
        </w:rPr>
        <w:t xml:space="preserve">The Constitution of the Federal Republic of Nigeria, 1991 (as amended), </w:t>
      </w:r>
      <w:r w:rsidR="00D70DC9" w:rsidRPr="00983961">
        <w:rPr>
          <w:rFonts w:ascii="Times New Roman" w:hAnsi="Times New Roman"/>
          <w:i/>
        </w:rPr>
        <w:t>s</w:t>
      </w:r>
      <w:r w:rsidR="00D70DC9" w:rsidRPr="00271D95">
        <w:rPr>
          <w:rFonts w:ascii="Times New Roman" w:hAnsi="Times New Roman"/>
        </w:rPr>
        <w:t>. 275</w:t>
      </w:r>
      <w:r w:rsidRPr="00271D95">
        <w:rPr>
          <w:rFonts w:ascii="Times New Roman" w:hAnsi="Times New Roman"/>
        </w:rPr>
        <w:t xml:space="preserve"> </w:t>
      </w:r>
    </w:p>
  </w:footnote>
  <w:footnote w:id="4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AD405F">
        <w:rPr>
          <w:rFonts w:ascii="Times New Roman" w:hAnsi="Times New Roman"/>
        </w:rPr>
        <w:t xml:space="preserve"> Kareem Olatoye</w:t>
      </w:r>
      <w:r w:rsidRPr="00271D95">
        <w:rPr>
          <w:rFonts w:ascii="Times New Roman" w:hAnsi="Times New Roman"/>
        </w:rPr>
        <w:t xml:space="preserve"> </w:t>
      </w:r>
      <w:r w:rsidR="00AD405F">
        <w:rPr>
          <w:rFonts w:ascii="Times New Roman" w:hAnsi="Times New Roman"/>
        </w:rPr>
        <w:t xml:space="preserve">&amp; Abubakri Yekini, </w:t>
      </w:r>
      <w:r w:rsidRPr="00AD405F">
        <w:rPr>
          <w:rFonts w:ascii="Times New Roman" w:hAnsi="Times New Roman"/>
          <w:i/>
        </w:rPr>
        <w:t>Islamic Law in Southern Nigerian Courts: Constitutional and Conflict of Laws Perspectives</w:t>
      </w:r>
      <w:r w:rsidR="00AD405F">
        <w:rPr>
          <w:rFonts w:ascii="Times New Roman" w:hAnsi="Times New Roman"/>
        </w:rPr>
        <w:t xml:space="preserve">, </w:t>
      </w:r>
      <w:r w:rsidRPr="00271D95">
        <w:rPr>
          <w:rFonts w:ascii="Times New Roman" w:hAnsi="Times New Roman"/>
        </w:rPr>
        <w:t xml:space="preserve">6 </w:t>
      </w:r>
      <w:r w:rsidRPr="00AD405F">
        <w:rPr>
          <w:rFonts w:ascii="Times New Roman" w:hAnsi="Times New Roman"/>
        </w:rPr>
        <w:t>Benin Journal of Public Law</w:t>
      </w:r>
      <w:r w:rsidR="00AD405F">
        <w:rPr>
          <w:rFonts w:ascii="Times New Roman" w:hAnsi="Times New Roman"/>
        </w:rPr>
        <w:t xml:space="preserve"> </w:t>
      </w:r>
      <w:r w:rsidRPr="00271D95">
        <w:rPr>
          <w:rFonts w:ascii="Times New Roman" w:hAnsi="Times New Roman"/>
        </w:rPr>
        <w:t>120-145 (2019).</w:t>
      </w:r>
    </w:p>
  </w:footnote>
  <w:footnote w:id="4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3A14C7">
        <w:rPr>
          <w:rFonts w:ascii="Times New Roman" w:hAnsi="Times New Roman"/>
          <w:i/>
        </w:rPr>
        <w:t xml:space="preserve"> </w:t>
      </w:r>
      <w:r w:rsidR="003A14C7">
        <w:rPr>
          <w:rFonts w:ascii="Times New Roman" w:hAnsi="Times New Roman"/>
        </w:rPr>
        <w:t xml:space="preserve">Oba, </w:t>
      </w:r>
      <w:r w:rsidR="003A14C7" w:rsidRPr="00271D95">
        <w:rPr>
          <w:rFonts w:ascii="Times New Roman" w:hAnsi="Times New Roman"/>
          <w:i/>
        </w:rPr>
        <w:t>supra</w:t>
      </w:r>
      <w:r w:rsidR="003A14C7" w:rsidRPr="00271D95">
        <w:rPr>
          <w:rFonts w:ascii="Times New Roman" w:hAnsi="Times New Roman"/>
        </w:rPr>
        <w:t xml:space="preserve"> </w:t>
      </w:r>
      <w:r w:rsidRPr="00271D95">
        <w:rPr>
          <w:rFonts w:ascii="Times New Roman" w:hAnsi="Times New Roman"/>
        </w:rPr>
        <w:t>note 45</w:t>
      </w:r>
    </w:p>
  </w:footnote>
  <w:footnote w:id="4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3A14C7">
        <w:rPr>
          <w:rFonts w:ascii="Times New Roman" w:hAnsi="Times New Roman"/>
        </w:rPr>
        <w:t xml:space="preserve"> Adil K.A. Muhammad, </w:t>
      </w:r>
      <w:r w:rsidRPr="003A14C7">
        <w:rPr>
          <w:rFonts w:ascii="Times New Roman" w:hAnsi="Times New Roman"/>
          <w:i/>
        </w:rPr>
        <w:t>Maqasid Al-Shari’ah and Preservation of Basic Rights</w:t>
      </w:r>
      <w:r w:rsidR="003A14C7">
        <w:rPr>
          <w:rFonts w:ascii="Times New Roman" w:hAnsi="Times New Roman"/>
        </w:rPr>
        <w:t xml:space="preserve">, </w:t>
      </w:r>
      <w:r w:rsidRPr="00271D95">
        <w:rPr>
          <w:rFonts w:ascii="Times New Roman" w:hAnsi="Times New Roman"/>
        </w:rPr>
        <w:t xml:space="preserve">4 </w:t>
      </w:r>
      <w:r w:rsidRPr="003A14C7">
        <w:rPr>
          <w:rFonts w:ascii="Times New Roman" w:hAnsi="Times New Roman"/>
        </w:rPr>
        <w:t>Journal of Education and Social Sciences</w:t>
      </w:r>
      <w:r w:rsidRPr="00271D95">
        <w:rPr>
          <w:rFonts w:ascii="Times New Roman" w:hAnsi="Times New Roman"/>
        </w:rPr>
        <w:t xml:space="preserve"> 276-285 (2016).</w:t>
      </w:r>
    </w:p>
  </w:footnote>
  <w:footnote w:id="5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Pr="00271D95">
        <w:rPr>
          <w:rFonts w:ascii="Times New Roman" w:hAnsi="Times New Roman"/>
          <w:i/>
        </w:rPr>
        <w:t xml:space="preserve"> </w:t>
      </w:r>
      <w:r w:rsidR="005B350B" w:rsidRPr="00271D95">
        <w:rPr>
          <w:rFonts w:ascii="Times New Roman" w:hAnsi="Times New Roman"/>
          <w:i/>
        </w:rPr>
        <w:t>Mamman Captain</w:t>
      </w:r>
      <w:r w:rsidR="005B350B">
        <w:rPr>
          <w:rFonts w:ascii="Times New Roman" w:hAnsi="Times New Roman"/>
          <w:i/>
        </w:rPr>
        <w:t xml:space="preserve">, </w:t>
      </w:r>
      <w:r w:rsidR="005B350B" w:rsidRPr="00271D95">
        <w:rPr>
          <w:rFonts w:ascii="Times New Roman" w:hAnsi="Times New Roman"/>
          <w:i/>
        </w:rPr>
        <w:t xml:space="preserve">supra </w:t>
      </w:r>
      <w:r w:rsidRPr="00271D95">
        <w:rPr>
          <w:rFonts w:ascii="Times New Roman" w:hAnsi="Times New Roman"/>
        </w:rPr>
        <w:t>note 34</w:t>
      </w:r>
    </w:p>
  </w:footnote>
  <w:footnote w:id="51">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710F7">
        <w:rPr>
          <w:rFonts w:ascii="Times New Roman" w:hAnsi="Times New Roman"/>
        </w:rPr>
        <w:t xml:space="preserve"> Muhammad, </w:t>
      </w:r>
      <w:r w:rsidR="009710F7" w:rsidRPr="009710F7">
        <w:rPr>
          <w:rFonts w:ascii="Times New Roman" w:hAnsi="Times New Roman"/>
          <w:i/>
        </w:rPr>
        <w:t>supra</w:t>
      </w:r>
      <w:r w:rsidR="009710F7" w:rsidRPr="00271D95">
        <w:rPr>
          <w:rFonts w:ascii="Times New Roman" w:hAnsi="Times New Roman"/>
        </w:rPr>
        <w:t xml:space="preserve"> </w:t>
      </w:r>
      <w:r w:rsidRPr="00271D95">
        <w:rPr>
          <w:rFonts w:ascii="Times New Roman" w:hAnsi="Times New Roman"/>
        </w:rPr>
        <w:t>note 49</w:t>
      </w:r>
    </w:p>
  </w:footnote>
  <w:footnote w:id="52">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710F7">
        <w:rPr>
          <w:rFonts w:ascii="Times New Roman" w:hAnsi="Times New Roman"/>
        </w:rPr>
        <w:t xml:space="preserve"> Dabas &amp;</w:t>
      </w:r>
      <w:r w:rsidR="009710F7" w:rsidRPr="00271D95">
        <w:rPr>
          <w:rFonts w:ascii="Times New Roman" w:hAnsi="Times New Roman"/>
        </w:rPr>
        <w:t xml:space="preserve"> </w:t>
      </w:r>
      <w:r w:rsidR="009710F7">
        <w:rPr>
          <w:rFonts w:ascii="Times New Roman" w:hAnsi="Times New Roman"/>
        </w:rPr>
        <w:t>Zarabozo</w:t>
      </w:r>
      <w:r w:rsidR="009710F7" w:rsidRPr="00271D95">
        <w:rPr>
          <w:rFonts w:ascii="Times New Roman" w:hAnsi="Times New Roman"/>
        </w:rPr>
        <w:t xml:space="preserve">, </w:t>
      </w:r>
      <w:r w:rsidR="006B3D80" w:rsidRPr="006B3D80">
        <w:rPr>
          <w:rFonts w:ascii="Times New Roman" w:hAnsi="Times New Roman"/>
          <w:i/>
        </w:rPr>
        <w:t>supra</w:t>
      </w:r>
      <w:r w:rsidR="006B3D80" w:rsidRPr="00271D95">
        <w:rPr>
          <w:rFonts w:ascii="Times New Roman" w:hAnsi="Times New Roman"/>
        </w:rPr>
        <w:t xml:space="preserve"> </w:t>
      </w:r>
      <w:r w:rsidRPr="00271D95">
        <w:rPr>
          <w:rFonts w:ascii="Times New Roman" w:hAnsi="Times New Roman"/>
        </w:rPr>
        <w:t>note 35</w:t>
      </w:r>
    </w:p>
  </w:footnote>
  <w:footnote w:id="53">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E0908">
        <w:rPr>
          <w:rFonts w:ascii="Times New Roman" w:hAnsi="Times New Roman"/>
          <w:i/>
        </w:rPr>
        <w:t>I</w:t>
      </w:r>
      <w:r w:rsidRPr="00271D95">
        <w:rPr>
          <w:rFonts w:ascii="Times New Roman" w:hAnsi="Times New Roman"/>
          <w:i/>
        </w:rPr>
        <w:t>d</w:t>
      </w:r>
      <w:r w:rsidR="009E0908">
        <w:rPr>
          <w:rFonts w:ascii="Times New Roman" w:hAnsi="Times New Roman"/>
          <w:i/>
        </w:rPr>
        <w:t>.</w:t>
      </w:r>
    </w:p>
  </w:footnote>
  <w:footnote w:id="54">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9E0908">
        <w:rPr>
          <w:rFonts w:ascii="Times New Roman" w:hAnsi="Times New Roman"/>
        </w:rPr>
        <w:t xml:space="preserve"> Al-Sheha</w:t>
      </w:r>
      <w:r w:rsidRPr="00271D95">
        <w:rPr>
          <w:rFonts w:ascii="Times New Roman" w:hAnsi="Times New Roman"/>
        </w:rPr>
        <w:t xml:space="preserve"> Abdul-Rahman, </w:t>
      </w:r>
      <w:r w:rsidRPr="00271D95">
        <w:rPr>
          <w:rFonts w:ascii="Times New Roman" w:hAnsi="Times New Roman"/>
          <w:i/>
        </w:rPr>
        <w:t>Human Rights in Islam and Common Misconceptions</w:t>
      </w:r>
      <w:r w:rsidRPr="00271D95">
        <w:rPr>
          <w:rFonts w:ascii="Times New Roman" w:hAnsi="Times New Roman"/>
        </w:rPr>
        <w:t xml:space="preserve">, 5-20, available at </w:t>
      </w:r>
      <w:hyperlink r:id="rId5" w:history="1">
        <w:r w:rsidRPr="00271D95">
          <w:rPr>
            <w:rStyle w:val="Hyperlink"/>
            <w:rFonts w:ascii="Times New Roman" w:hAnsi="Times New Roman"/>
          </w:rPr>
          <w:t>https://hrlibrary.umn.edu/research/Egypt/HumanRightsinI-slam.pdf</w:t>
        </w:r>
      </w:hyperlink>
      <w:r w:rsidR="00597E2B">
        <w:t xml:space="preserve"> </w:t>
      </w:r>
      <w:r w:rsidRPr="00271D95">
        <w:rPr>
          <w:rFonts w:ascii="Times New Roman" w:hAnsi="Times New Roman"/>
        </w:rPr>
        <w:t>(last visited on November 10, 2022).</w:t>
      </w:r>
    </w:p>
  </w:footnote>
  <w:footnote w:id="55">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428F2">
        <w:rPr>
          <w:rFonts w:ascii="Times New Roman" w:hAnsi="Times New Roman"/>
          <w:i/>
        </w:rPr>
        <w:t xml:space="preserve"> </w:t>
      </w:r>
      <w:r w:rsidR="00C1195A" w:rsidRPr="00271D95">
        <w:rPr>
          <w:rFonts w:ascii="Times New Roman" w:hAnsi="Times New Roman"/>
          <w:i/>
        </w:rPr>
        <w:t>Mamman Captain</w:t>
      </w:r>
      <w:r w:rsidR="00C1195A">
        <w:rPr>
          <w:rFonts w:ascii="Times New Roman" w:hAnsi="Times New Roman"/>
          <w:i/>
        </w:rPr>
        <w:t>,</w:t>
      </w:r>
      <w:r w:rsidRPr="00271D95">
        <w:rPr>
          <w:rFonts w:ascii="Times New Roman" w:hAnsi="Times New Roman"/>
        </w:rPr>
        <w:t xml:space="preserve"> </w:t>
      </w:r>
      <w:r w:rsidR="00C1195A" w:rsidRPr="00C1195A">
        <w:rPr>
          <w:rFonts w:ascii="Times New Roman" w:hAnsi="Times New Roman"/>
          <w:i/>
        </w:rPr>
        <w:t>supra</w:t>
      </w:r>
      <w:r w:rsidR="00C1195A" w:rsidRPr="00271D95">
        <w:rPr>
          <w:rFonts w:ascii="Times New Roman" w:hAnsi="Times New Roman"/>
        </w:rPr>
        <w:t xml:space="preserve"> </w:t>
      </w:r>
      <w:r w:rsidRPr="00271D95">
        <w:rPr>
          <w:rFonts w:ascii="Times New Roman" w:hAnsi="Times New Roman"/>
        </w:rPr>
        <w:t xml:space="preserve">note 34 </w:t>
      </w:r>
    </w:p>
  </w:footnote>
  <w:footnote w:id="56">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1195A">
        <w:rPr>
          <w:rFonts w:ascii="Times New Roman" w:hAnsi="Times New Roman"/>
          <w:i/>
        </w:rPr>
        <w:t xml:space="preserve"> I</w:t>
      </w:r>
      <w:r w:rsidRPr="00271D95">
        <w:rPr>
          <w:rFonts w:ascii="Times New Roman" w:hAnsi="Times New Roman"/>
          <w:i/>
        </w:rPr>
        <w:t>d</w:t>
      </w:r>
      <w:r w:rsidR="00C1195A">
        <w:rPr>
          <w:rFonts w:ascii="Times New Roman" w:hAnsi="Times New Roman"/>
          <w:i/>
        </w:rPr>
        <w:t>.</w:t>
      </w:r>
    </w:p>
  </w:footnote>
  <w:footnote w:id="57">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428F2">
        <w:rPr>
          <w:rFonts w:ascii="Times New Roman" w:hAnsi="Times New Roman"/>
          <w:i/>
        </w:rPr>
        <w:t xml:space="preserve"> </w:t>
      </w:r>
      <w:r w:rsidR="00C1195A">
        <w:rPr>
          <w:rFonts w:ascii="Times New Roman" w:hAnsi="Times New Roman"/>
          <w:i/>
        </w:rPr>
        <w:t>I</w:t>
      </w:r>
      <w:r w:rsidRPr="00271D95">
        <w:rPr>
          <w:rFonts w:ascii="Times New Roman" w:hAnsi="Times New Roman"/>
          <w:i/>
        </w:rPr>
        <w:t>d</w:t>
      </w:r>
      <w:r w:rsidR="00C1195A">
        <w:rPr>
          <w:rFonts w:ascii="Times New Roman" w:hAnsi="Times New Roman"/>
          <w:i/>
        </w:rPr>
        <w:t>.</w:t>
      </w:r>
    </w:p>
  </w:footnote>
  <w:footnote w:id="58">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428F2">
        <w:rPr>
          <w:rFonts w:ascii="Times New Roman" w:hAnsi="Times New Roman"/>
          <w:i/>
        </w:rPr>
        <w:t xml:space="preserve"> I</w:t>
      </w:r>
      <w:r w:rsidRPr="00271D95">
        <w:rPr>
          <w:rFonts w:ascii="Times New Roman" w:hAnsi="Times New Roman"/>
          <w:i/>
        </w:rPr>
        <w:t>d</w:t>
      </w:r>
      <w:r w:rsidR="00C428F2">
        <w:rPr>
          <w:rFonts w:ascii="Times New Roman" w:hAnsi="Times New Roman"/>
          <w:i/>
        </w:rPr>
        <w:t>.</w:t>
      </w:r>
    </w:p>
  </w:footnote>
  <w:footnote w:id="59">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C428F2">
        <w:rPr>
          <w:rFonts w:ascii="Times New Roman" w:hAnsi="Times New Roman"/>
        </w:rPr>
        <w:t xml:space="preserve"> Ikenga K.E. Oraegbunam, </w:t>
      </w:r>
      <w:r w:rsidRPr="00C428F2">
        <w:rPr>
          <w:rFonts w:ascii="Times New Roman" w:hAnsi="Times New Roman"/>
          <w:i/>
        </w:rPr>
        <w:t>Maliki Jurisprudence and Boko Haram Ideology versus Nigerian Nation Building: Need for Pluralism in Islamic Praxis</w:t>
      </w:r>
      <w:r w:rsidR="001932B4">
        <w:rPr>
          <w:rFonts w:ascii="Times New Roman" w:hAnsi="Times New Roman"/>
        </w:rPr>
        <w:t>,</w:t>
      </w:r>
      <w:r w:rsidR="00536421">
        <w:rPr>
          <w:rFonts w:ascii="Times New Roman" w:hAnsi="Times New Roman"/>
        </w:rPr>
        <w:t xml:space="preserve"> </w:t>
      </w:r>
      <w:r w:rsidRPr="00271D95">
        <w:rPr>
          <w:rFonts w:ascii="Times New Roman" w:hAnsi="Times New Roman"/>
        </w:rPr>
        <w:t xml:space="preserve">12 </w:t>
      </w:r>
      <w:r w:rsidRPr="006D36AB">
        <w:rPr>
          <w:rFonts w:ascii="Times New Roman" w:hAnsi="Times New Roman"/>
        </w:rPr>
        <w:t>Ogirisi: A New Journal of African Studies</w:t>
      </w:r>
      <w:r w:rsidR="00C428F2">
        <w:rPr>
          <w:rFonts w:ascii="Times New Roman" w:hAnsi="Times New Roman"/>
          <w:i/>
        </w:rPr>
        <w:t xml:space="preserve"> </w:t>
      </w:r>
      <w:r w:rsidRPr="00271D95">
        <w:rPr>
          <w:rFonts w:ascii="Times New Roman" w:hAnsi="Times New Roman"/>
        </w:rPr>
        <w:t>25-42</w:t>
      </w:r>
      <w:r w:rsidR="00C428F2">
        <w:rPr>
          <w:rFonts w:ascii="Times New Roman" w:hAnsi="Times New Roman"/>
        </w:rPr>
        <w:t xml:space="preserve"> </w:t>
      </w:r>
      <w:r w:rsidRPr="00271D95">
        <w:rPr>
          <w:rFonts w:ascii="Times New Roman" w:hAnsi="Times New Roman"/>
        </w:rPr>
        <w:t>(2016).</w:t>
      </w:r>
    </w:p>
  </w:footnote>
  <w:footnote w:id="60">
    <w:p w:rsidR="00666944" w:rsidRPr="00271D95" w:rsidRDefault="00666944" w:rsidP="005B739E">
      <w:pPr>
        <w:pStyle w:val="FootnoteText"/>
        <w:spacing w:after="0" w:line="240" w:lineRule="auto"/>
        <w:jc w:val="both"/>
        <w:rPr>
          <w:rFonts w:ascii="Times New Roman" w:hAnsi="Times New Roman"/>
        </w:rPr>
      </w:pPr>
      <w:r w:rsidRPr="00271D95">
        <w:rPr>
          <w:rStyle w:val="FootnoteReference"/>
          <w:rFonts w:ascii="Times New Roman" w:hAnsi="Times New Roman"/>
        </w:rPr>
        <w:footnoteRef/>
      </w:r>
      <w:r w:rsidR="00554B19">
        <w:rPr>
          <w:rFonts w:ascii="Times New Roman" w:hAnsi="Times New Roman"/>
        </w:rPr>
        <w:t xml:space="preserve"> </w:t>
      </w:r>
      <w:r w:rsidR="00554B19" w:rsidRPr="00271D95">
        <w:rPr>
          <w:rFonts w:ascii="Times New Roman" w:hAnsi="Times New Roman"/>
        </w:rPr>
        <w:t>Getso</w:t>
      </w:r>
      <w:r w:rsidR="00554B19">
        <w:rPr>
          <w:rFonts w:ascii="Times New Roman" w:hAnsi="Times New Roman"/>
        </w:rPr>
        <w:t xml:space="preserve">, </w:t>
      </w:r>
      <w:r w:rsidR="00554B19" w:rsidRPr="00271D95">
        <w:rPr>
          <w:rFonts w:ascii="Times New Roman" w:hAnsi="Times New Roman"/>
          <w:i/>
        </w:rPr>
        <w:t>supra</w:t>
      </w:r>
      <w:r w:rsidR="00554B19" w:rsidRPr="00271D95">
        <w:rPr>
          <w:rFonts w:ascii="Times New Roman" w:hAnsi="Times New Roman"/>
        </w:rPr>
        <w:t xml:space="preserve"> </w:t>
      </w:r>
      <w:r w:rsidR="00554B19">
        <w:rPr>
          <w:rFonts w:ascii="Times New Roman" w:hAnsi="Times New Roman"/>
        </w:rPr>
        <w:t>note 5,</w:t>
      </w:r>
      <w:r w:rsidRPr="00271D95">
        <w:rPr>
          <w:rFonts w:ascii="Times New Roman" w:hAnsi="Times New Roman"/>
        </w:rPr>
        <w:t xml:space="preserve"> 76-78.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503F5" w:rsidRPr="00E06358" w:rsidRDefault="003503F5" w:rsidP="0029718C">
    <w:pPr>
      <w:pStyle w:val="Header"/>
      <w:rPr>
        <w:sz w:val="18"/>
        <w:szCs w:val="18"/>
      </w:rPr>
    </w:pPr>
    <w:r w:rsidRPr="00E06358">
      <w:rPr>
        <w:sz w:val="18"/>
        <w:szCs w:val="18"/>
      </w:rPr>
      <w:t>International Journa</w:t>
    </w:r>
    <w:r>
      <w:rPr>
        <w:sz w:val="18"/>
        <w:szCs w:val="18"/>
      </w:rPr>
      <w:t>l of Legal Studies and Research (IJLS</w:t>
    </w:r>
    <w:r w:rsidRPr="00E06358">
      <w:rPr>
        <w:sz w:val="18"/>
        <w:szCs w:val="18"/>
      </w:rPr>
      <w:t>R)</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503F5" w:rsidRPr="00B9332A" w:rsidRDefault="00D94F50" w:rsidP="0029718C">
    <w:pPr>
      <w:pStyle w:val="NoSpacing"/>
      <w:jc w:val="right"/>
      <w:rPr>
        <w:rFonts w:eastAsia="Times New Roman" w:cs="Times New Roman"/>
        <w:b/>
        <w:bCs/>
        <w:i/>
        <w:sz w:val="18"/>
        <w:szCs w:val="18"/>
        <w:lang w:val="en-GB"/>
      </w:rPr>
    </w:pPr>
    <w:r w:rsidRPr="005E6633">
      <w:rPr>
        <w:i/>
        <w:iCs/>
        <w:sz w:val="18"/>
        <w:szCs w:val="18"/>
      </w:rPr>
      <w:t>Mikaaeel</w:t>
    </w:r>
    <w:r>
      <w:rPr>
        <w:i/>
        <w:iCs/>
        <w:sz w:val="18"/>
        <w:szCs w:val="18"/>
      </w:rPr>
      <w:t xml:space="preserve"> et al</w:t>
    </w:r>
    <w:r w:rsidR="003503F5" w:rsidRPr="00B9332A">
      <w:rPr>
        <w:i/>
        <w:sz w:val="18"/>
        <w:szCs w:val="18"/>
      </w:rPr>
      <w:t>/</w:t>
    </w:r>
    <w:r w:rsidRPr="005E6633">
      <w:rPr>
        <w:i/>
        <w:iCs/>
        <w:sz w:val="18"/>
        <w:szCs w:val="18"/>
      </w:rPr>
      <w:t xml:space="preserve">Misapplication Of </w:t>
    </w:r>
    <w:r w:rsidR="000121D5">
      <w:rPr>
        <w:i/>
        <w:iCs/>
        <w:sz w:val="18"/>
        <w:szCs w:val="18"/>
      </w:rPr>
      <w:t xml:space="preserve">The </w:t>
    </w:r>
    <w:r w:rsidRPr="005E6633">
      <w:rPr>
        <w:i/>
        <w:iCs/>
        <w:sz w:val="18"/>
        <w:szCs w:val="18"/>
      </w:rPr>
      <w:t>Principle Of</w:t>
    </w:r>
    <w:r w:rsidR="00052B0D">
      <w:rPr>
        <w:i/>
        <w:iCs/>
        <w:sz w:val="18"/>
        <w:szCs w:val="18"/>
      </w:rPr>
      <w:t xml:space="preserve"> </w:t>
    </w:r>
    <w:r w:rsidR="00052B0D" w:rsidRPr="005E6633">
      <w:rPr>
        <w:i/>
        <w:iCs/>
        <w:sz w:val="18"/>
        <w:szCs w:val="18"/>
      </w:rPr>
      <w:t>Murur</w:t>
    </w:r>
    <w:r w:rsidR="00052B0D">
      <w:rPr>
        <w:i/>
        <w:iCs/>
        <w:sz w:val="18"/>
        <w:szCs w:val="18"/>
      </w:rPr>
      <w:t xml:space="preserve"> </w:t>
    </w:r>
    <w:r w:rsidRPr="005E6633">
      <w:rPr>
        <w:i/>
        <w:iCs/>
        <w:sz w:val="18"/>
        <w:szCs w:val="18"/>
      </w:rPr>
      <w:t>Az-Zaman To Al-Faraa’id Cases In Nigeria: Ascertaining The Position Of Islamic Courts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3503F5" w:rsidRDefault="003503F5" w:rsidP="0012319A">
    <w:pPr>
      <w:pStyle w:val="Header"/>
      <w:jc w:val="right"/>
    </w:pPr>
    <w:r w:rsidRPr="00A36213">
      <w:rPr>
        <w:sz w:val="20"/>
        <w:szCs w:val="20"/>
      </w:rPr>
      <w:t>International Journal of Law and Policy Review (IJLPR)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C24EC"/>
    <w:multiLevelType w:val="hybridMultilevel"/>
    <w:tmpl w:val="6B56201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890E02"/>
    <w:multiLevelType w:val="hybridMultilevel"/>
    <w:tmpl w:val="2EC48C6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4145DC"/>
    <w:multiLevelType w:val="hybridMultilevel"/>
    <w:tmpl w:val="108409F4"/>
    <w:lvl w:ilvl="0" w:tplc="3D36C8EE">
      <w:start w:val="1"/>
      <w:numFmt w:val="lowerRoman"/>
      <w:lvlText w:val="%1."/>
      <w:lvlJc w:val="left"/>
      <w:pPr>
        <w:ind w:left="1080" w:hanging="72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C376CE"/>
    <w:multiLevelType w:val="hybridMultilevel"/>
    <w:tmpl w:val="C55CF10C"/>
    <w:lvl w:ilvl="0" w:tplc="1F0A0AF6">
      <w:start w:val="1"/>
      <w:numFmt w:val="upperRoman"/>
      <w:lvlText w:val="%1."/>
      <w:lvlJc w:val="left"/>
      <w:pPr>
        <w:ind w:left="1080" w:hanging="72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D2B1EDE"/>
    <w:multiLevelType w:val="hybridMultilevel"/>
    <w:tmpl w:val="30A2336A"/>
    <w:lvl w:ilvl="0" w:tplc="32F429F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77B183D"/>
    <w:multiLevelType w:val="hybridMultilevel"/>
    <w:tmpl w:val="36A47C4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89410EC"/>
    <w:multiLevelType w:val="hybridMultilevel"/>
    <w:tmpl w:val="FE78F0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ECE5E8A"/>
    <w:multiLevelType w:val="hybridMultilevel"/>
    <w:tmpl w:val="5324107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49B68F1"/>
    <w:multiLevelType w:val="hybridMultilevel"/>
    <w:tmpl w:val="FD0EA694"/>
    <w:lvl w:ilvl="0" w:tplc="2C5E57C0">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70D32C6"/>
    <w:multiLevelType w:val="hybridMultilevel"/>
    <w:tmpl w:val="D74280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6F8D3B74"/>
    <w:multiLevelType w:val="hybridMultilevel"/>
    <w:tmpl w:val="EAE87456"/>
    <w:lvl w:ilvl="0" w:tplc="4EC8D01A">
      <w:start w:val="1"/>
      <w:numFmt w:val="upperRoman"/>
      <w:lvlText w:val="%1."/>
      <w:lvlJc w:val="left"/>
      <w:pPr>
        <w:ind w:left="1080" w:hanging="720"/>
      </w:pPr>
      <w:rPr>
        <w:rFonts w:cstheme="min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9266F31"/>
    <w:multiLevelType w:val="hybridMultilevel"/>
    <w:tmpl w:val="43FA263C"/>
    <w:lvl w:ilvl="0" w:tplc="274CD3C2">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1158306744">
    <w:abstractNumId w:val="9"/>
  </w:num>
  <w:num w:numId="2" w16cid:durableId="146750805">
    <w:abstractNumId w:val="0"/>
  </w:num>
  <w:num w:numId="3" w16cid:durableId="1875649366">
    <w:abstractNumId w:val="1"/>
  </w:num>
  <w:num w:numId="4" w16cid:durableId="2072382937">
    <w:abstractNumId w:val="7"/>
  </w:num>
  <w:num w:numId="5" w16cid:durableId="87702405">
    <w:abstractNumId w:val="6"/>
  </w:num>
  <w:num w:numId="6" w16cid:durableId="1083182252">
    <w:abstractNumId w:val="5"/>
  </w:num>
  <w:num w:numId="7" w16cid:durableId="96754894">
    <w:abstractNumId w:val="8"/>
  </w:num>
  <w:num w:numId="8" w16cid:durableId="183520437">
    <w:abstractNumId w:val="2"/>
  </w:num>
  <w:num w:numId="9" w16cid:durableId="82730319">
    <w:abstractNumId w:val="3"/>
  </w:num>
  <w:num w:numId="10" w16cid:durableId="560168040">
    <w:abstractNumId w:val="10"/>
  </w:num>
  <w:num w:numId="11" w16cid:durableId="468862374">
    <w:abstractNumId w:val="4"/>
  </w:num>
  <w:num w:numId="12" w16cid:durableId="1824270782">
    <w:abstractNumId w:val="1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33"/>
  <w:defaultTabStop w:val="720"/>
  <w:evenAndOddHeaders/>
  <w:drawingGridHorizontalSpacing w:val="110"/>
  <w:displayHorizontalDrawingGridEvery w:val="2"/>
  <w:characterSpacingControl w:val="doNotCompress"/>
  <w:hdrShapeDefaults>
    <o:shapedefaults v:ext="edit" spidmax="1945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nword-docGUID" w:val="{19CBBB1C-320B-4FD0-8B22-45634F97D8C7}"/>
    <w:docVar w:name="dgnword-eventsink" w:val="231804024"/>
  </w:docVars>
  <w:rsids>
    <w:rsidRoot w:val="005C6C06"/>
    <w:rsid w:val="00002A6E"/>
    <w:rsid w:val="00005A05"/>
    <w:rsid w:val="000121D5"/>
    <w:rsid w:val="000138E0"/>
    <w:rsid w:val="00014361"/>
    <w:rsid w:val="0001669E"/>
    <w:rsid w:val="00020A3B"/>
    <w:rsid w:val="000247ED"/>
    <w:rsid w:val="00024CD9"/>
    <w:rsid w:val="000258F2"/>
    <w:rsid w:val="00031ED2"/>
    <w:rsid w:val="00032574"/>
    <w:rsid w:val="00033E12"/>
    <w:rsid w:val="00043EC0"/>
    <w:rsid w:val="000453E0"/>
    <w:rsid w:val="0004643F"/>
    <w:rsid w:val="000474A3"/>
    <w:rsid w:val="00052B0D"/>
    <w:rsid w:val="00053946"/>
    <w:rsid w:val="000547BD"/>
    <w:rsid w:val="00063714"/>
    <w:rsid w:val="00063E9F"/>
    <w:rsid w:val="000644C1"/>
    <w:rsid w:val="00065DE4"/>
    <w:rsid w:val="00072539"/>
    <w:rsid w:val="00072B65"/>
    <w:rsid w:val="00076FF6"/>
    <w:rsid w:val="00080332"/>
    <w:rsid w:val="0008121A"/>
    <w:rsid w:val="00082202"/>
    <w:rsid w:val="00083B5D"/>
    <w:rsid w:val="00084DD9"/>
    <w:rsid w:val="00084EA2"/>
    <w:rsid w:val="000868EE"/>
    <w:rsid w:val="00086A43"/>
    <w:rsid w:val="00090029"/>
    <w:rsid w:val="000925E7"/>
    <w:rsid w:val="00094F1C"/>
    <w:rsid w:val="000964EE"/>
    <w:rsid w:val="000A3452"/>
    <w:rsid w:val="000A5307"/>
    <w:rsid w:val="000B5FAE"/>
    <w:rsid w:val="000B60AD"/>
    <w:rsid w:val="000C04CE"/>
    <w:rsid w:val="000C3006"/>
    <w:rsid w:val="000D1B70"/>
    <w:rsid w:val="000D1ED2"/>
    <w:rsid w:val="000D30DA"/>
    <w:rsid w:val="000D3BD3"/>
    <w:rsid w:val="000D49D0"/>
    <w:rsid w:val="000D6D5D"/>
    <w:rsid w:val="000E137F"/>
    <w:rsid w:val="000E2635"/>
    <w:rsid w:val="000E5656"/>
    <w:rsid w:val="000F372A"/>
    <w:rsid w:val="000F6978"/>
    <w:rsid w:val="00100F56"/>
    <w:rsid w:val="00101CF6"/>
    <w:rsid w:val="00102931"/>
    <w:rsid w:val="001057C7"/>
    <w:rsid w:val="0010753F"/>
    <w:rsid w:val="00111C59"/>
    <w:rsid w:val="0011565C"/>
    <w:rsid w:val="0012319A"/>
    <w:rsid w:val="00123259"/>
    <w:rsid w:val="0012670B"/>
    <w:rsid w:val="001271D7"/>
    <w:rsid w:val="0013039E"/>
    <w:rsid w:val="0013150B"/>
    <w:rsid w:val="001317AF"/>
    <w:rsid w:val="00132C93"/>
    <w:rsid w:val="0013435D"/>
    <w:rsid w:val="00134473"/>
    <w:rsid w:val="001375E0"/>
    <w:rsid w:val="00141552"/>
    <w:rsid w:val="00141CB9"/>
    <w:rsid w:val="00141EFE"/>
    <w:rsid w:val="001452B1"/>
    <w:rsid w:val="00147FA7"/>
    <w:rsid w:val="00153F27"/>
    <w:rsid w:val="0015576F"/>
    <w:rsid w:val="00155E49"/>
    <w:rsid w:val="00156FA1"/>
    <w:rsid w:val="0015700E"/>
    <w:rsid w:val="00160BA0"/>
    <w:rsid w:val="00164615"/>
    <w:rsid w:val="00164A69"/>
    <w:rsid w:val="00166CCD"/>
    <w:rsid w:val="001718DF"/>
    <w:rsid w:val="00172F02"/>
    <w:rsid w:val="001908BD"/>
    <w:rsid w:val="00191A02"/>
    <w:rsid w:val="001932B4"/>
    <w:rsid w:val="00195076"/>
    <w:rsid w:val="001979EF"/>
    <w:rsid w:val="001A7CC0"/>
    <w:rsid w:val="001B1393"/>
    <w:rsid w:val="001B3345"/>
    <w:rsid w:val="001B39E3"/>
    <w:rsid w:val="001B48B3"/>
    <w:rsid w:val="001C2B46"/>
    <w:rsid w:val="001C48EF"/>
    <w:rsid w:val="001D36EB"/>
    <w:rsid w:val="001D4FD8"/>
    <w:rsid w:val="001E12BA"/>
    <w:rsid w:val="001E57A3"/>
    <w:rsid w:val="001F08D3"/>
    <w:rsid w:val="001F5031"/>
    <w:rsid w:val="001F7163"/>
    <w:rsid w:val="001F7D1B"/>
    <w:rsid w:val="002005F3"/>
    <w:rsid w:val="00202220"/>
    <w:rsid w:val="00202F31"/>
    <w:rsid w:val="00205350"/>
    <w:rsid w:val="00205426"/>
    <w:rsid w:val="00205E1A"/>
    <w:rsid w:val="00206216"/>
    <w:rsid w:val="0020699F"/>
    <w:rsid w:val="00206CA9"/>
    <w:rsid w:val="00212E6B"/>
    <w:rsid w:val="00214F3F"/>
    <w:rsid w:val="0021770A"/>
    <w:rsid w:val="0022051F"/>
    <w:rsid w:val="002205CC"/>
    <w:rsid w:val="00222823"/>
    <w:rsid w:val="00222B91"/>
    <w:rsid w:val="00222E38"/>
    <w:rsid w:val="002235C4"/>
    <w:rsid w:val="0023147B"/>
    <w:rsid w:val="002320F5"/>
    <w:rsid w:val="0024288E"/>
    <w:rsid w:val="002475C4"/>
    <w:rsid w:val="00253719"/>
    <w:rsid w:val="00260561"/>
    <w:rsid w:val="00262C93"/>
    <w:rsid w:val="0026391A"/>
    <w:rsid w:val="00265AB9"/>
    <w:rsid w:val="00266E77"/>
    <w:rsid w:val="00271D95"/>
    <w:rsid w:val="002725F9"/>
    <w:rsid w:val="00272EAA"/>
    <w:rsid w:val="00273858"/>
    <w:rsid w:val="00280FDB"/>
    <w:rsid w:val="002840E2"/>
    <w:rsid w:val="0028474F"/>
    <w:rsid w:val="00285BB0"/>
    <w:rsid w:val="002860BA"/>
    <w:rsid w:val="00294C26"/>
    <w:rsid w:val="00296041"/>
    <w:rsid w:val="00296DCC"/>
    <w:rsid w:val="0029718C"/>
    <w:rsid w:val="002A2880"/>
    <w:rsid w:val="002A4C66"/>
    <w:rsid w:val="002A4F55"/>
    <w:rsid w:val="002A6F4F"/>
    <w:rsid w:val="002B0299"/>
    <w:rsid w:val="002B205C"/>
    <w:rsid w:val="002B61EB"/>
    <w:rsid w:val="002B7229"/>
    <w:rsid w:val="002B7ADE"/>
    <w:rsid w:val="002C03DF"/>
    <w:rsid w:val="002C2BCC"/>
    <w:rsid w:val="002C5849"/>
    <w:rsid w:val="002C794C"/>
    <w:rsid w:val="002E1761"/>
    <w:rsid w:val="002E1ACD"/>
    <w:rsid w:val="002E328C"/>
    <w:rsid w:val="002F28CF"/>
    <w:rsid w:val="002F2C6D"/>
    <w:rsid w:val="002F4B94"/>
    <w:rsid w:val="002F5FA4"/>
    <w:rsid w:val="003065FF"/>
    <w:rsid w:val="00306655"/>
    <w:rsid w:val="003069C0"/>
    <w:rsid w:val="003069FC"/>
    <w:rsid w:val="00306E57"/>
    <w:rsid w:val="00310772"/>
    <w:rsid w:val="00310900"/>
    <w:rsid w:val="00311BA6"/>
    <w:rsid w:val="00312F47"/>
    <w:rsid w:val="00314772"/>
    <w:rsid w:val="00321732"/>
    <w:rsid w:val="00322DBB"/>
    <w:rsid w:val="003269C6"/>
    <w:rsid w:val="00327FBD"/>
    <w:rsid w:val="003356E7"/>
    <w:rsid w:val="003359F3"/>
    <w:rsid w:val="0033711C"/>
    <w:rsid w:val="003416D8"/>
    <w:rsid w:val="003503F5"/>
    <w:rsid w:val="00351728"/>
    <w:rsid w:val="003566E3"/>
    <w:rsid w:val="00360488"/>
    <w:rsid w:val="00364CB5"/>
    <w:rsid w:val="003653A5"/>
    <w:rsid w:val="00366E89"/>
    <w:rsid w:val="00370110"/>
    <w:rsid w:val="00374954"/>
    <w:rsid w:val="00374DFE"/>
    <w:rsid w:val="00375546"/>
    <w:rsid w:val="00376A72"/>
    <w:rsid w:val="00376A7C"/>
    <w:rsid w:val="00385DFB"/>
    <w:rsid w:val="00392505"/>
    <w:rsid w:val="00393DAB"/>
    <w:rsid w:val="003952EE"/>
    <w:rsid w:val="0039657A"/>
    <w:rsid w:val="00396FA5"/>
    <w:rsid w:val="003A14C7"/>
    <w:rsid w:val="003A1B12"/>
    <w:rsid w:val="003A5D94"/>
    <w:rsid w:val="003A6A55"/>
    <w:rsid w:val="003A7BF0"/>
    <w:rsid w:val="003B4247"/>
    <w:rsid w:val="003B7ED5"/>
    <w:rsid w:val="003C26CE"/>
    <w:rsid w:val="003C6156"/>
    <w:rsid w:val="003C6A22"/>
    <w:rsid w:val="003D10ED"/>
    <w:rsid w:val="003D2642"/>
    <w:rsid w:val="003D2B5D"/>
    <w:rsid w:val="003E0CED"/>
    <w:rsid w:val="003E0D0C"/>
    <w:rsid w:val="003E3B57"/>
    <w:rsid w:val="003E4CE8"/>
    <w:rsid w:val="003E5DB2"/>
    <w:rsid w:val="003F212A"/>
    <w:rsid w:val="003F2AD3"/>
    <w:rsid w:val="003F4EAC"/>
    <w:rsid w:val="003F5A30"/>
    <w:rsid w:val="003F7812"/>
    <w:rsid w:val="00403C80"/>
    <w:rsid w:val="00412377"/>
    <w:rsid w:val="0041283D"/>
    <w:rsid w:val="00413858"/>
    <w:rsid w:val="0041612F"/>
    <w:rsid w:val="00417651"/>
    <w:rsid w:val="00430C67"/>
    <w:rsid w:val="004335A7"/>
    <w:rsid w:val="00433C84"/>
    <w:rsid w:val="00436B77"/>
    <w:rsid w:val="00440466"/>
    <w:rsid w:val="00442315"/>
    <w:rsid w:val="00443C04"/>
    <w:rsid w:val="00450D33"/>
    <w:rsid w:val="00461E3E"/>
    <w:rsid w:val="00461F0D"/>
    <w:rsid w:val="004800C7"/>
    <w:rsid w:val="0048058C"/>
    <w:rsid w:val="004807C2"/>
    <w:rsid w:val="00480A19"/>
    <w:rsid w:val="004871BF"/>
    <w:rsid w:val="00493410"/>
    <w:rsid w:val="00494418"/>
    <w:rsid w:val="00497163"/>
    <w:rsid w:val="004A2C5C"/>
    <w:rsid w:val="004A4BF1"/>
    <w:rsid w:val="004A7283"/>
    <w:rsid w:val="004B2146"/>
    <w:rsid w:val="004B216B"/>
    <w:rsid w:val="004B5B61"/>
    <w:rsid w:val="004C1D44"/>
    <w:rsid w:val="004C2406"/>
    <w:rsid w:val="004C24E3"/>
    <w:rsid w:val="004C34D1"/>
    <w:rsid w:val="004C5FCF"/>
    <w:rsid w:val="004D2E79"/>
    <w:rsid w:val="004D3681"/>
    <w:rsid w:val="004D382D"/>
    <w:rsid w:val="004D68D9"/>
    <w:rsid w:val="004D75D3"/>
    <w:rsid w:val="004E4360"/>
    <w:rsid w:val="004F444E"/>
    <w:rsid w:val="004F6487"/>
    <w:rsid w:val="004F78A0"/>
    <w:rsid w:val="005039CE"/>
    <w:rsid w:val="00506AE2"/>
    <w:rsid w:val="00507655"/>
    <w:rsid w:val="00513866"/>
    <w:rsid w:val="00515D71"/>
    <w:rsid w:val="00517C77"/>
    <w:rsid w:val="00522AEE"/>
    <w:rsid w:val="005234A2"/>
    <w:rsid w:val="00523A2D"/>
    <w:rsid w:val="00524930"/>
    <w:rsid w:val="00525DD3"/>
    <w:rsid w:val="00526A48"/>
    <w:rsid w:val="00530312"/>
    <w:rsid w:val="00532F7F"/>
    <w:rsid w:val="00536421"/>
    <w:rsid w:val="00537984"/>
    <w:rsid w:val="005411E7"/>
    <w:rsid w:val="0054272E"/>
    <w:rsid w:val="0054723E"/>
    <w:rsid w:val="005477C8"/>
    <w:rsid w:val="0054799F"/>
    <w:rsid w:val="00551793"/>
    <w:rsid w:val="005542F6"/>
    <w:rsid w:val="00554B19"/>
    <w:rsid w:val="00555137"/>
    <w:rsid w:val="0055599F"/>
    <w:rsid w:val="00556247"/>
    <w:rsid w:val="00556A91"/>
    <w:rsid w:val="00564C63"/>
    <w:rsid w:val="00565576"/>
    <w:rsid w:val="005657F2"/>
    <w:rsid w:val="00565B6A"/>
    <w:rsid w:val="0057057A"/>
    <w:rsid w:val="0057095F"/>
    <w:rsid w:val="00581AA6"/>
    <w:rsid w:val="00582A87"/>
    <w:rsid w:val="00587C25"/>
    <w:rsid w:val="00590D38"/>
    <w:rsid w:val="005916CA"/>
    <w:rsid w:val="00592012"/>
    <w:rsid w:val="005928A0"/>
    <w:rsid w:val="005930A2"/>
    <w:rsid w:val="0059450B"/>
    <w:rsid w:val="00597E2B"/>
    <w:rsid w:val="005A045E"/>
    <w:rsid w:val="005A04C8"/>
    <w:rsid w:val="005A1562"/>
    <w:rsid w:val="005A312F"/>
    <w:rsid w:val="005A5DDE"/>
    <w:rsid w:val="005A6A48"/>
    <w:rsid w:val="005B0534"/>
    <w:rsid w:val="005B287B"/>
    <w:rsid w:val="005B29B4"/>
    <w:rsid w:val="005B350B"/>
    <w:rsid w:val="005B5974"/>
    <w:rsid w:val="005B739E"/>
    <w:rsid w:val="005C05AE"/>
    <w:rsid w:val="005C2C6B"/>
    <w:rsid w:val="005C4092"/>
    <w:rsid w:val="005C5C0D"/>
    <w:rsid w:val="005C6C06"/>
    <w:rsid w:val="005D01EC"/>
    <w:rsid w:val="005D14AD"/>
    <w:rsid w:val="005D1EC5"/>
    <w:rsid w:val="005D1FD6"/>
    <w:rsid w:val="005D3F72"/>
    <w:rsid w:val="005D4B2E"/>
    <w:rsid w:val="005E741B"/>
    <w:rsid w:val="005E747B"/>
    <w:rsid w:val="005F1798"/>
    <w:rsid w:val="005F1B0D"/>
    <w:rsid w:val="005F4744"/>
    <w:rsid w:val="005F4E8B"/>
    <w:rsid w:val="005F6884"/>
    <w:rsid w:val="00611717"/>
    <w:rsid w:val="00611A91"/>
    <w:rsid w:val="00613C78"/>
    <w:rsid w:val="00615F31"/>
    <w:rsid w:val="00624225"/>
    <w:rsid w:val="00624EF4"/>
    <w:rsid w:val="00632C12"/>
    <w:rsid w:val="006364EB"/>
    <w:rsid w:val="00646428"/>
    <w:rsid w:val="006539B5"/>
    <w:rsid w:val="0065522B"/>
    <w:rsid w:val="0066012E"/>
    <w:rsid w:val="006639D7"/>
    <w:rsid w:val="00664087"/>
    <w:rsid w:val="00666944"/>
    <w:rsid w:val="00670F4B"/>
    <w:rsid w:val="00681300"/>
    <w:rsid w:val="00681A96"/>
    <w:rsid w:val="00683D59"/>
    <w:rsid w:val="0068692C"/>
    <w:rsid w:val="0069019F"/>
    <w:rsid w:val="00694CFD"/>
    <w:rsid w:val="006A1E31"/>
    <w:rsid w:val="006A29D5"/>
    <w:rsid w:val="006A2AEE"/>
    <w:rsid w:val="006A6ED2"/>
    <w:rsid w:val="006B3D80"/>
    <w:rsid w:val="006B535F"/>
    <w:rsid w:val="006B5829"/>
    <w:rsid w:val="006C2EA1"/>
    <w:rsid w:val="006C35BA"/>
    <w:rsid w:val="006C363B"/>
    <w:rsid w:val="006C4381"/>
    <w:rsid w:val="006D1FDC"/>
    <w:rsid w:val="006D36AB"/>
    <w:rsid w:val="006D4CEE"/>
    <w:rsid w:val="006D5A37"/>
    <w:rsid w:val="006E0699"/>
    <w:rsid w:val="006E487E"/>
    <w:rsid w:val="006E48A5"/>
    <w:rsid w:val="006F2BF4"/>
    <w:rsid w:val="006F32CB"/>
    <w:rsid w:val="006F568C"/>
    <w:rsid w:val="00700A4D"/>
    <w:rsid w:val="00701922"/>
    <w:rsid w:val="00701C26"/>
    <w:rsid w:val="00702DE2"/>
    <w:rsid w:val="00705308"/>
    <w:rsid w:val="007103AE"/>
    <w:rsid w:val="0071043A"/>
    <w:rsid w:val="007113DF"/>
    <w:rsid w:val="0071161A"/>
    <w:rsid w:val="0071278A"/>
    <w:rsid w:val="0071380E"/>
    <w:rsid w:val="00717F57"/>
    <w:rsid w:val="007219C1"/>
    <w:rsid w:val="00721BDD"/>
    <w:rsid w:val="00724485"/>
    <w:rsid w:val="00726B5E"/>
    <w:rsid w:val="00731EC4"/>
    <w:rsid w:val="0073496F"/>
    <w:rsid w:val="0074082A"/>
    <w:rsid w:val="00741C7D"/>
    <w:rsid w:val="00743F3F"/>
    <w:rsid w:val="007448F0"/>
    <w:rsid w:val="00746FD9"/>
    <w:rsid w:val="00755B36"/>
    <w:rsid w:val="00756C85"/>
    <w:rsid w:val="0076084A"/>
    <w:rsid w:val="00760F22"/>
    <w:rsid w:val="00771DBD"/>
    <w:rsid w:val="0077600E"/>
    <w:rsid w:val="00782B3B"/>
    <w:rsid w:val="00785E1E"/>
    <w:rsid w:val="00787C2C"/>
    <w:rsid w:val="00792DD0"/>
    <w:rsid w:val="00794E27"/>
    <w:rsid w:val="00796095"/>
    <w:rsid w:val="007A0B16"/>
    <w:rsid w:val="007A12A2"/>
    <w:rsid w:val="007A1C91"/>
    <w:rsid w:val="007A55CD"/>
    <w:rsid w:val="007A7048"/>
    <w:rsid w:val="007B46E5"/>
    <w:rsid w:val="007B5649"/>
    <w:rsid w:val="007B575E"/>
    <w:rsid w:val="007B7FD5"/>
    <w:rsid w:val="007C1654"/>
    <w:rsid w:val="007C6BCF"/>
    <w:rsid w:val="007C7C02"/>
    <w:rsid w:val="007D2129"/>
    <w:rsid w:val="007D70DA"/>
    <w:rsid w:val="007D7C74"/>
    <w:rsid w:val="007D7DBA"/>
    <w:rsid w:val="007E0D2E"/>
    <w:rsid w:val="007E58E1"/>
    <w:rsid w:val="007E5FDB"/>
    <w:rsid w:val="007E6B81"/>
    <w:rsid w:val="007F1816"/>
    <w:rsid w:val="007F1EF3"/>
    <w:rsid w:val="007F325C"/>
    <w:rsid w:val="007F3293"/>
    <w:rsid w:val="007F5E44"/>
    <w:rsid w:val="00806597"/>
    <w:rsid w:val="00806CE5"/>
    <w:rsid w:val="00811CE9"/>
    <w:rsid w:val="00812A02"/>
    <w:rsid w:val="00821E19"/>
    <w:rsid w:val="008240AF"/>
    <w:rsid w:val="00825738"/>
    <w:rsid w:val="008257B3"/>
    <w:rsid w:val="008272BB"/>
    <w:rsid w:val="0083070B"/>
    <w:rsid w:val="0083305E"/>
    <w:rsid w:val="00834348"/>
    <w:rsid w:val="00837020"/>
    <w:rsid w:val="00837658"/>
    <w:rsid w:val="00840CC6"/>
    <w:rsid w:val="00841EE5"/>
    <w:rsid w:val="00842A33"/>
    <w:rsid w:val="00843019"/>
    <w:rsid w:val="008439AB"/>
    <w:rsid w:val="008440D0"/>
    <w:rsid w:val="00845332"/>
    <w:rsid w:val="00845504"/>
    <w:rsid w:val="008502AE"/>
    <w:rsid w:val="008503AD"/>
    <w:rsid w:val="00851DDF"/>
    <w:rsid w:val="008533B9"/>
    <w:rsid w:val="00856109"/>
    <w:rsid w:val="00860F0D"/>
    <w:rsid w:val="00862037"/>
    <w:rsid w:val="00862943"/>
    <w:rsid w:val="00865A46"/>
    <w:rsid w:val="008678B8"/>
    <w:rsid w:val="00874023"/>
    <w:rsid w:val="0087485A"/>
    <w:rsid w:val="00874F10"/>
    <w:rsid w:val="00877B6E"/>
    <w:rsid w:val="00881A5C"/>
    <w:rsid w:val="008860FF"/>
    <w:rsid w:val="00894627"/>
    <w:rsid w:val="00895855"/>
    <w:rsid w:val="0089772D"/>
    <w:rsid w:val="008A0A59"/>
    <w:rsid w:val="008A0FB7"/>
    <w:rsid w:val="008A0FCE"/>
    <w:rsid w:val="008A5F70"/>
    <w:rsid w:val="008A6036"/>
    <w:rsid w:val="008B0B9D"/>
    <w:rsid w:val="008B2B09"/>
    <w:rsid w:val="008B36AB"/>
    <w:rsid w:val="008B598B"/>
    <w:rsid w:val="008B7F0E"/>
    <w:rsid w:val="008C4719"/>
    <w:rsid w:val="008C7BEA"/>
    <w:rsid w:val="008D0D3D"/>
    <w:rsid w:val="008D17E0"/>
    <w:rsid w:val="008D29F2"/>
    <w:rsid w:val="008D2B50"/>
    <w:rsid w:val="008F03F3"/>
    <w:rsid w:val="008F2985"/>
    <w:rsid w:val="009001A2"/>
    <w:rsid w:val="009010E1"/>
    <w:rsid w:val="00901928"/>
    <w:rsid w:val="00905F61"/>
    <w:rsid w:val="009078C6"/>
    <w:rsid w:val="00910761"/>
    <w:rsid w:val="00911394"/>
    <w:rsid w:val="00917D9C"/>
    <w:rsid w:val="00920968"/>
    <w:rsid w:val="00921554"/>
    <w:rsid w:val="0092191F"/>
    <w:rsid w:val="00924277"/>
    <w:rsid w:val="0092482B"/>
    <w:rsid w:val="00925187"/>
    <w:rsid w:val="0092589A"/>
    <w:rsid w:val="00931081"/>
    <w:rsid w:val="00931E63"/>
    <w:rsid w:val="009361D7"/>
    <w:rsid w:val="009406FB"/>
    <w:rsid w:val="00942FF0"/>
    <w:rsid w:val="00943930"/>
    <w:rsid w:val="00943CC3"/>
    <w:rsid w:val="009443AA"/>
    <w:rsid w:val="00951CE3"/>
    <w:rsid w:val="00953395"/>
    <w:rsid w:val="00954081"/>
    <w:rsid w:val="009578F3"/>
    <w:rsid w:val="0096032A"/>
    <w:rsid w:val="00960E9B"/>
    <w:rsid w:val="00966E62"/>
    <w:rsid w:val="00970A57"/>
    <w:rsid w:val="009710F7"/>
    <w:rsid w:val="00971A78"/>
    <w:rsid w:val="009728C5"/>
    <w:rsid w:val="0097324F"/>
    <w:rsid w:val="009740BD"/>
    <w:rsid w:val="009778B1"/>
    <w:rsid w:val="00981A25"/>
    <w:rsid w:val="009826E0"/>
    <w:rsid w:val="00983961"/>
    <w:rsid w:val="009954A3"/>
    <w:rsid w:val="009956F4"/>
    <w:rsid w:val="0099762B"/>
    <w:rsid w:val="009A2FED"/>
    <w:rsid w:val="009A4E88"/>
    <w:rsid w:val="009A5EA4"/>
    <w:rsid w:val="009A5F0D"/>
    <w:rsid w:val="009B12E5"/>
    <w:rsid w:val="009B1DCB"/>
    <w:rsid w:val="009B410D"/>
    <w:rsid w:val="009B50E5"/>
    <w:rsid w:val="009B64B3"/>
    <w:rsid w:val="009C10B0"/>
    <w:rsid w:val="009C2307"/>
    <w:rsid w:val="009C3C2E"/>
    <w:rsid w:val="009C52E5"/>
    <w:rsid w:val="009C54B2"/>
    <w:rsid w:val="009C5C2C"/>
    <w:rsid w:val="009D0A03"/>
    <w:rsid w:val="009D32BB"/>
    <w:rsid w:val="009D4347"/>
    <w:rsid w:val="009D4AC5"/>
    <w:rsid w:val="009D7944"/>
    <w:rsid w:val="009D79B6"/>
    <w:rsid w:val="009E0908"/>
    <w:rsid w:val="009F0EC3"/>
    <w:rsid w:val="009F1A30"/>
    <w:rsid w:val="009F6AED"/>
    <w:rsid w:val="00A02709"/>
    <w:rsid w:val="00A131F9"/>
    <w:rsid w:val="00A14D5D"/>
    <w:rsid w:val="00A2069F"/>
    <w:rsid w:val="00A23342"/>
    <w:rsid w:val="00A23C5F"/>
    <w:rsid w:val="00A24F4D"/>
    <w:rsid w:val="00A25CD3"/>
    <w:rsid w:val="00A3197C"/>
    <w:rsid w:val="00A31BFC"/>
    <w:rsid w:val="00A32134"/>
    <w:rsid w:val="00A3576B"/>
    <w:rsid w:val="00A36082"/>
    <w:rsid w:val="00A36213"/>
    <w:rsid w:val="00A364BA"/>
    <w:rsid w:val="00A36E1A"/>
    <w:rsid w:val="00A37D07"/>
    <w:rsid w:val="00A40CAD"/>
    <w:rsid w:val="00A51356"/>
    <w:rsid w:val="00A56D74"/>
    <w:rsid w:val="00A570D8"/>
    <w:rsid w:val="00A6093A"/>
    <w:rsid w:val="00A6344A"/>
    <w:rsid w:val="00A641BC"/>
    <w:rsid w:val="00A6606D"/>
    <w:rsid w:val="00A71617"/>
    <w:rsid w:val="00A720A6"/>
    <w:rsid w:val="00A72642"/>
    <w:rsid w:val="00A729D3"/>
    <w:rsid w:val="00A74279"/>
    <w:rsid w:val="00A74B33"/>
    <w:rsid w:val="00A779AF"/>
    <w:rsid w:val="00A77F9A"/>
    <w:rsid w:val="00A8341B"/>
    <w:rsid w:val="00A8578B"/>
    <w:rsid w:val="00A86267"/>
    <w:rsid w:val="00A940A0"/>
    <w:rsid w:val="00AA650E"/>
    <w:rsid w:val="00AA7FF1"/>
    <w:rsid w:val="00AB6796"/>
    <w:rsid w:val="00AB780B"/>
    <w:rsid w:val="00AC0BE7"/>
    <w:rsid w:val="00AD1EC8"/>
    <w:rsid w:val="00AD405F"/>
    <w:rsid w:val="00AD456E"/>
    <w:rsid w:val="00AD7B61"/>
    <w:rsid w:val="00AE650D"/>
    <w:rsid w:val="00AE784F"/>
    <w:rsid w:val="00AF148A"/>
    <w:rsid w:val="00AF2A52"/>
    <w:rsid w:val="00AF5697"/>
    <w:rsid w:val="00B03150"/>
    <w:rsid w:val="00B13087"/>
    <w:rsid w:val="00B14BBE"/>
    <w:rsid w:val="00B202AF"/>
    <w:rsid w:val="00B20EF3"/>
    <w:rsid w:val="00B21DF1"/>
    <w:rsid w:val="00B309B4"/>
    <w:rsid w:val="00B37992"/>
    <w:rsid w:val="00B40CE7"/>
    <w:rsid w:val="00B43135"/>
    <w:rsid w:val="00B444B9"/>
    <w:rsid w:val="00B468EB"/>
    <w:rsid w:val="00B47FDD"/>
    <w:rsid w:val="00B509B6"/>
    <w:rsid w:val="00B53765"/>
    <w:rsid w:val="00B5646C"/>
    <w:rsid w:val="00B60077"/>
    <w:rsid w:val="00B607AC"/>
    <w:rsid w:val="00B63920"/>
    <w:rsid w:val="00B6538E"/>
    <w:rsid w:val="00B66F1D"/>
    <w:rsid w:val="00B73FDE"/>
    <w:rsid w:val="00B761A1"/>
    <w:rsid w:val="00B766E3"/>
    <w:rsid w:val="00B84C38"/>
    <w:rsid w:val="00B857AC"/>
    <w:rsid w:val="00B86862"/>
    <w:rsid w:val="00B86E21"/>
    <w:rsid w:val="00B905C7"/>
    <w:rsid w:val="00B9332A"/>
    <w:rsid w:val="00B943FB"/>
    <w:rsid w:val="00B97D34"/>
    <w:rsid w:val="00BA019D"/>
    <w:rsid w:val="00BA2BFF"/>
    <w:rsid w:val="00BA3A7B"/>
    <w:rsid w:val="00BA3EE7"/>
    <w:rsid w:val="00BA4589"/>
    <w:rsid w:val="00BA4AE2"/>
    <w:rsid w:val="00BB0F7D"/>
    <w:rsid w:val="00BB3845"/>
    <w:rsid w:val="00BB3FF6"/>
    <w:rsid w:val="00BB4BE0"/>
    <w:rsid w:val="00BB503B"/>
    <w:rsid w:val="00BB5E7E"/>
    <w:rsid w:val="00BC13AF"/>
    <w:rsid w:val="00BC275C"/>
    <w:rsid w:val="00BC4188"/>
    <w:rsid w:val="00BC6BF4"/>
    <w:rsid w:val="00BD5FA9"/>
    <w:rsid w:val="00BE1F55"/>
    <w:rsid w:val="00BE2D8E"/>
    <w:rsid w:val="00BE47DA"/>
    <w:rsid w:val="00BF1DC8"/>
    <w:rsid w:val="00BF37C1"/>
    <w:rsid w:val="00BF6FA9"/>
    <w:rsid w:val="00BF7C36"/>
    <w:rsid w:val="00C02523"/>
    <w:rsid w:val="00C0536C"/>
    <w:rsid w:val="00C1112B"/>
    <w:rsid w:val="00C1195A"/>
    <w:rsid w:val="00C16F48"/>
    <w:rsid w:val="00C204C0"/>
    <w:rsid w:val="00C213D7"/>
    <w:rsid w:val="00C21E7E"/>
    <w:rsid w:val="00C276AE"/>
    <w:rsid w:val="00C31C6E"/>
    <w:rsid w:val="00C333A6"/>
    <w:rsid w:val="00C40B58"/>
    <w:rsid w:val="00C423C7"/>
    <w:rsid w:val="00C428F2"/>
    <w:rsid w:val="00C434CA"/>
    <w:rsid w:val="00C45450"/>
    <w:rsid w:val="00C460E4"/>
    <w:rsid w:val="00C466EF"/>
    <w:rsid w:val="00C51B55"/>
    <w:rsid w:val="00C54883"/>
    <w:rsid w:val="00C56FC0"/>
    <w:rsid w:val="00C5706D"/>
    <w:rsid w:val="00C6279B"/>
    <w:rsid w:val="00C63223"/>
    <w:rsid w:val="00C6389E"/>
    <w:rsid w:val="00C675D6"/>
    <w:rsid w:val="00C67B08"/>
    <w:rsid w:val="00C70203"/>
    <w:rsid w:val="00C71FF3"/>
    <w:rsid w:val="00C7364E"/>
    <w:rsid w:val="00C80D0D"/>
    <w:rsid w:val="00C909CD"/>
    <w:rsid w:val="00C93B75"/>
    <w:rsid w:val="00C95D44"/>
    <w:rsid w:val="00C97876"/>
    <w:rsid w:val="00CA394C"/>
    <w:rsid w:val="00CA5037"/>
    <w:rsid w:val="00CB16EA"/>
    <w:rsid w:val="00CB3C68"/>
    <w:rsid w:val="00CB3E9B"/>
    <w:rsid w:val="00CB6BE8"/>
    <w:rsid w:val="00CC2366"/>
    <w:rsid w:val="00CC4481"/>
    <w:rsid w:val="00CC4BCE"/>
    <w:rsid w:val="00CC722D"/>
    <w:rsid w:val="00CD04BA"/>
    <w:rsid w:val="00CD17CF"/>
    <w:rsid w:val="00CD1D87"/>
    <w:rsid w:val="00CD2F80"/>
    <w:rsid w:val="00CD75B1"/>
    <w:rsid w:val="00CE1994"/>
    <w:rsid w:val="00CE369A"/>
    <w:rsid w:val="00CE43BB"/>
    <w:rsid w:val="00CE4AEB"/>
    <w:rsid w:val="00CE789C"/>
    <w:rsid w:val="00CE7945"/>
    <w:rsid w:val="00CF505A"/>
    <w:rsid w:val="00CF5C1C"/>
    <w:rsid w:val="00D00CE2"/>
    <w:rsid w:val="00D052D4"/>
    <w:rsid w:val="00D06AF6"/>
    <w:rsid w:val="00D07047"/>
    <w:rsid w:val="00D111B2"/>
    <w:rsid w:val="00D11B1C"/>
    <w:rsid w:val="00D11C73"/>
    <w:rsid w:val="00D1466C"/>
    <w:rsid w:val="00D25D6B"/>
    <w:rsid w:val="00D3669C"/>
    <w:rsid w:val="00D37188"/>
    <w:rsid w:val="00D378C9"/>
    <w:rsid w:val="00D430D8"/>
    <w:rsid w:val="00D43174"/>
    <w:rsid w:val="00D45BCF"/>
    <w:rsid w:val="00D4641E"/>
    <w:rsid w:val="00D504A0"/>
    <w:rsid w:val="00D55050"/>
    <w:rsid w:val="00D55C8E"/>
    <w:rsid w:val="00D56C16"/>
    <w:rsid w:val="00D57D09"/>
    <w:rsid w:val="00D57DDF"/>
    <w:rsid w:val="00D6124E"/>
    <w:rsid w:val="00D61D98"/>
    <w:rsid w:val="00D63A20"/>
    <w:rsid w:val="00D65DF1"/>
    <w:rsid w:val="00D66F92"/>
    <w:rsid w:val="00D70DC9"/>
    <w:rsid w:val="00D748E7"/>
    <w:rsid w:val="00D76DBF"/>
    <w:rsid w:val="00D76DD7"/>
    <w:rsid w:val="00D8340B"/>
    <w:rsid w:val="00D83779"/>
    <w:rsid w:val="00D852FA"/>
    <w:rsid w:val="00D87878"/>
    <w:rsid w:val="00D919EF"/>
    <w:rsid w:val="00D93D6B"/>
    <w:rsid w:val="00D94F50"/>
    <w:rsid w:val="00D950B9"/>
    <w:rsid w:val="00D97E5F"/>
    <w:rsid w:val="00DA373E"/>
    <w:rsid w:val="00DA4335"/>
    <w:rsid w:val="00DA5AA3"/>
    <w:rsid w:val="00DB48E5"/>
    <w:rsid w:val="00DB6A5D"/>
    <w:rsid w:val="00DC35BF"/>
    <w:rsid w:val="00DC63DF"/>
    <w:rsid w:val="00DD0037"/>
    <w:rsid w:val="00DD24E1"/>
    <w:rsid w:val="00DD5AA2"/>
    <w:rsid w:val="00DE1B2B"/>
    <w:rsid w:val="00DE40F4"/>
    <w:rsid w:val="00DE5CBA"/>
    <w:rsid w:val="00DF2220"/>
    <w:rsid w:val="00DF79F4"/>
    <w:rsid w:val="00E0512B"/>
    <w:rsid w:val="00E06358"/>
    <w:rsid w:val="00E063F2"/>
    <w:rsid w:val="00E125B1"/>
    <w:rsid w:val="00E155CE"/>
    <w:rsid w:val="00E21970"/>
    <w:rsid w:val="00E219E0"/>
    <w:rsid w:val="00E26FAC"/>
    <w:rsid w:val="00E2783D"/>
    <w:rsid w:val="00E27FB8"/>
    <w:rsid w:val="00E304BB"/>
    <w:rsid w:val="00E30ACF"/>
    <w:rsid w:val="00E32471"/>
    <w:rsid w:val="00E344C1"/>
    <w:rsid w:val="00E37811"/>
    <w:rsid w:val="00E4088D"/>
    <w:rsid w:val="00E42E54"/>
    <w:rsid w:val="00E4506E"/>
    <w:rsid w:val="00E46DA3"/>
    <w:rsid w:val="00E46F07"/>
    <w:rsid w:val="00E527CC"/>
    <w:rsid w:val="00E5664E"/>
    <w:rsid w:val="00E60DF8"/>
    <w:rsid w:val="00E62181"/>
    <w:rsid w:val="00E63074"/>
    <w:rsid w:val="00E63DAC"/>
    <w:rsid w:val="00E659B0"/>
    <w:rsid w:val="00E7238C"/>
    <w:rsid w:val="00E72680"/>
    <w:rsid w:val="00E83FAA"/>
    <w:rsid w:val="00E86570"/>
    <w:rsid w:val="00E932EF"/>
    <w:rsid w:val="00E97895"/>
    <w:rsid w:val="00E97F4D"/>
    <w:rsid w:val="00EA2E57"/>
    <w:rsid w:val="00EA375E"/>
    <w:rsid w:val="00EA5E08"/>
    <w:rsid w:val="00EB23A8"/>
    <w:rsid w:val="00EB45B5"/>
    <w:rsid w:val="00EB547D"/>
    <w:rsid w:val="00EB5E98"/>
    <w:rsid w:val="00EB63C1"/>
    <w:rsid w:val="00EB6CF2"/>
    <w:rsid w:val="00EB6E12"/>
    <w:rsid w:val="00EC696B"/>
    <w:rsid w:val="00EC75F5"/>
    <w:rsid w:val="00ED1A4D"/>
    <w:rsid w:val="00ED35D9"/>
    <w:rsid w:val="00ED493E"/>
    <w:rsid w:val="00ED5D7C"/>
    <w:rsid w:val="00ED6A17"/>
    <w:rsid w:val="00ED6B8C"/>
    <w:rsid w:val="00EE1E8B"/>
    <w:rsid w:val="00EE3131"/>
    <w:rsid w:val="00EE32E3"/>
    <w:rsid w:val="00EE3423"/>
    <w:rsid w:val="00EE7EAA"/>
    <w:rsid w:val="00F0079E"/>
    <w:rsid w:val="00F008A9"/>
    <w:rsid w:val="00F0281F"/>
    <w:rsid w:val="00F04370"/>
    <w:rsid w:val="00F07FFE"/>
    <w:rsid w:val="00F105B9"/>
    <w:rsid w:val="00F11B19"/>
    <w:rsid w:val="00F134FF"/>
    <w:rsid w:val="00F143F8"/>
    <w:rsid w:val="00F1464E"/>
    <w:rsid w:val="00F148D5"/>
    <w:rsid w:val="00F15A16"/>
    <w:rsid w:val="00F20A07"/>
    <w:rsid w:val="00F2104E"/>
    <w:rsid w:val="00F21ACB"/>
    <w:rsid w:val="00F2560E"/>
    <w:rsid w:val="00F259AC"/>
    <w:rsid w:val="00F37D88"/>
    <w:rsid w:val="00F4262B"/>
    <w:rsid w:val="00F43F63"/>
    <w:rsid w:val="00F456A3"/>
    <w:rsid w:val="00F45F1B"/>
    <w:rsid w:val="00F519E5"/>
    <w:rsid w:val="00F52996"/>
    <w:rsid w:val="00F61DDB"/>
    <w:rsid w:val="00F649AF"/>
    <w:rsid w:val="00F6556F"/>
    <w:rsid w:val="00F65CD4"/>
    <w:rsid w:val="00F71F49"/>
    <w:rsid w:val="00F74928"/>
    <w:rsid w:val="00F85DF9"/>
    <w:rsid w:val="00F910A7"/>
    <w:rsid w:val="00F91377"/>
    <w:rsid w:val="00F91985"/>
    <w:rsid w:val="00F9256B"/>
    <w:rsid w:val="00F95773"/>
    <w:rsid w:val="00F9631F"/>
    <w:rsid w:val="00F96C06"/>
    <w:rsid w:val="00F97416"/>
    <w:rsid w:val="00F97B1C"/>
    <w:rsid w:val="00FA080B"/>
    <w:rsid w:val="00FA0CF9"/>
    <w:rsid w:val="00FA0D5C"/>
    <w:rsid w:val="00FA0D5F"/>
    <w:rsid w:val="00FA0F7A"/>
    <w:rsid w:val="00FA1736"/>
    <w:rsid w:val="00FA249A"/>
    <w:rsid w:val="00FA3C1C"/>
    <w:rsid w:val="00FA3CE1"/>
    <w:rsid w:val="00FA6F81"/>
    <w:rsid w:val="00FB1B4E"/>
    <w:rsid w:val="00FB539D"/>
    <w:rsid w:val="00FC2BE6"/>
    <w:rsid w:val="00FC5127"/>
    <w:rsid w:val="00FC6BB7"/>
    <w:rsid w:val="00FC7BD5"/>
    <w:rsid w:val="00FD1A3C"/>
    <w:rsid w:val="00FE0603"/>
    <w:rsid w:val="00FE36A4"/>
    <w:rsid w:val="00FE67C0"/>
    <w:rsid w:val="00FF1B32"/>
    <w:rsid w:val="00FF5714"/>
    <w:rsid w:val="00FF7327"/>
    <w:rsid w:val="00FF7379"/>
    <w:rsid w:val="00FF794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15:docId w15:val="{9AE2B7C1-7744-E54A-B107-6F5162B3E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A7BF0"/>
  </w:style>
  <w:style w:type="paragraph" w:styleId="Heading1">
    <w:name w:val="heading 1"/>
    <w:basedOn w:val="Normal"/>
    <w:next w:val="Normal"/>
    <w:link w:val="Heading1Char"/>
    <w:uiPriority w:val="9"/>
    <w:qFormat/>
    <w:rsid w:val="00F910A7"/>
    <w:pPr>
      <w:keepNext/>
      <w:spacing w:after="0" w:line="240" w:lineRule="auto"/>
      <w:outlineLvl w:val="0"/>
    </w:pPr>
    <w:rPr>
      <w:rFonts w:ascii="Times New Roman" w:eastAsia="Times New Roman" w:hAnsi="Times New Roman" w:cs="Times New Roman"/>
      <w:b/>
      <w:bCs/>
      <w:sz w:val="24"/>
      <w:szCs w:val="24"/>
    </w:rPr>
  </w:style>
  <w:style w:type="paragraph" w:styleId="Heading2">
    <w:name w:val="heading 2"/>
    <w:basedOn w:val="Normal"/>
    <w:next w:val="Normal"/>
    <w:link w:val="Heading2Char"/>
    <w:uiPriority w:val="9"/>
    <w:qFormat/>
    <w:rsid w:val="00F910A7"/>
    <w:pPr>
      <w:keepNext/>
      <w:tabs>
        <w:tab w:val="left" w:pos="5670"/>
      </w:tabs>
      <w:spacing w:after="0" w:line="240" w:lineRule="auto"/>
      <w:jc w:val="both"/>
      <w:outlineLvl w:val="1"/>
    </w:pPr>
    <w:rPr>
      <w:rFonts w:ascii="Times New Roman" w:eastAsia="Times New Roman" w:hAnsi="Times New Roman" w:cs="Times New Roman"/>
      <w:b/>
      <w:bCs/>
      <w:sz w:val="24"/>
      <w:szCs w:val="24"/>
    </w:rPr>
  </w:style>
  <w:style w:type="paragraph" w:styleId="Heading3">
    <w:name w:val="heading 3"/>
    <w:basedOn w:val="Normal"/>
    <w:next w:val="Normal"/>
    <w:link w:val="Heading3Char"/>
    <w:uiPriority w:val="9"/>
    <w:qFormat/>
    <w:rsid w:val="00F910A7"/>
    <w:pPr>
      <w:keepNext/>
      <w:spacing w:after="0" w:line="240" w:lineRule="auto"/>
      <w:jc w:val="right"/>
      <w:outlineLvl w:val="2"/>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6C06"/>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6C06"/>
  </w:style>
  <w:style w:type="paragraph" w:styleId="Footer">
    <w:name w:val="footer"/>
    <w:basedOn w:val="Normal"/>
    <w:link w:val="FooterChar"/>
    <w:uiPriority w:val="99"/>
    <w:unhideWhenUsed/>
    <w:rsid w:val="005C6C06"/>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6C06"/>
  </w:style>
  <w:style w:type="paragraph" w:styleId="BalloonText">
    <w:name w:val="Balloon Text"/>
    <w:basedOn w:val="Normal"/>
    <w:link w:val="BalloonTextChar"/>
    <w:uiPriority w:val="99"/>
    <w:semiHidden/>
    <w:unhideWhenUsed/>
    <w:rsid w:val="005C6C0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C6C06"/>
    <w:rPr>
      <w:rFonts w:ascii="Tahoma" w:hAnsi="Tahoma" w:cs="Tahoma"/>
      <w:sz w:val="16"/>
      <w:szCs w:val="16"/>
    </w:rPr>
  </w:style>
  <w:style w:type="paragraph" w:styleId="NormalWeb">
    <w:name w:val="Normal (Web)"/>
    <w:basedOn w:val="Normal"/>
    <w:unhideWhenUsed/>
    <w:rsid w:val="004C24E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unhideWhenUsed/>
    <w:rsid w:val="004C24E3"/>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4C24E3"/>
    <w:rPr>
      <w:rFonts w:ascii="Calibri" w:eastAsia="Calibri" w:hAnsi="Calibri" w:cs="Times New Roman"/>
      <w:sz w:val="20"/>
      <w:szCs w:val="20"/>
      <w:lang w:val="en-US" w:eastAsia="en-US"/>
    </w:rPr>
  </w:style>
  <w:style w:type="character" w:styleId="FootnoteReference">
    <w:name w:val="footnote reference"/>
    <w:basedOn w:val="DefaultParagraphFont"/>
    <w:uiPriority w:val="99"/>
    <w:unhideWhenUsed/>
    <w:rsid w:val="004C24E3"/>
    <w:rPr>
      <w:vertAlign w:val="superscript"/>
    </w:rPr>
  </w:style>
  <w:style w:type="paragraph" w:customStyle="1" w:styleId="bodypost">
    <w:name w:val="bodypost"/>
    <w:basedOn w:val="Normal"/>
    <w:rsid w:val="004C24E3"/>
    <w:pPr>
      <w:spacing w:before="100" w:beforeAutospacing="1" w:after="100" w:afterAutospacing="1" w:line="240" w:lineRule="auto"/>
      <w:jc w:val="both"/>
    </w:pPr>
    <w:rPr>
      <w:rFonts w:ascii="Arial" w:eastAsia="Times New Roman" w:hAnsi="Arial" w:cs="Arial"/>
      <w:color w:val="000000"/>
      <w:sz w:val="20"/>
      <w:szCs w:val="20"/>
    </w:rPr>
  </w:style>
  <w:style w:type="character" w:styleId="Strong">
    <w:name w:val="Strong"/>
    <w:basedOn w:val="DefaultParagraphFont"/>
    <w:uiPriority w:val="22"/>
    <w:qFormat/>
    <w:rsid w:val="004C24E3"/>
    <w:rPr>
      <w:b/>
      <w:bCs/>
    </w:rPr>
  </w:style>
  <w:style w:type="character" w:styleId="Hyperlink">
    <w:name w:val="Hyperlink"/>
    <w:basedOn w:val="DefaultParagraphFont"/>
    <w:uiPriority w:val="99"/>
    <w:unhideWhenUsed/>
    <w:rsid w:val="009954A3"/>
    <w:rPr>
      <w:color w:val="0000FF" w:themeColor="hyperlink"/>
      <w:u w:val="single"/>
    </w:rPr>
  </w:style>
  <w:style w:type="paragraph" w:customStyle="1" w:styleId="revtxt">
    <w:name w:val="revtxt"/>
    <w:basedOn w:val="Normal"/>
    <w:rsid w:val="00312F4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vtxt1">
    <w:name w:val="revtxt1"/>
    <w:basedOn w:val="DefaultParagraphFont"/>
    <w:rsid w:val="00312F47"/>
  </w:style>
  <w:style w:type="character" w:customStyle="1" w:styleId="Heading1Char">
    <w:name w:val="Heading 1 Char"/>
    <w:basedOn w:val="DefaultParagraphFont"/>
    <w:link w:val="Heading1"/>
    <w:uiPriority w:val="9"/>
    <w:rsid w:val="00F910A7"/>
    <w:rPr>
      <w:rFonts w:ascii="Times New Roman" w:eastAsia="Times New Roman" w:hAnsi="Times New Roman" w:cs="Times New Roman"/>
      <w:b/>
      <w:bCs/>
      <w:sz w:val="24"/>
      <w:szCs w:val="24"/>
      <w:lang w:val="en-US" w:eastAsia="en-US"/>
    </w:rPr>
  </w:style>
  <w:style w:type="character" w:customStyle="1" w:styleId="Heading2Char">
    <w:name w:val="Heading 2 Char"/>
    <w:basedOn w:val="DefaultParagraphFont"/>
    <w:link w:val="Heading2"/>
    <w:uiPriority w:val="9"/>
    <w:rsid w:val="00F910A7"/>
    <w:rPr>
      <w:rFonts w:ascii="Times New Roman" w:eastAsia="Times New Roman" w:hAnsi="Times New Roman" w:cs="Times New Roman"/>
      <w:b/>
      <w:bCs/>
      <w:sz w:val="24"/>
      <w:szCs w:val="24"/>
      <w:lang w:val="en-US" w:eastAsia="en-US"/>
    </w:rPr>
  </w:style>
  <w:style w:type="character" w:customStyle="1" w:styleId="Heading3Char">
    <w:name w:val="Heading 3 Char"/>
    <w:basedOn w:val="DefaultParagraphFont"/>
    <w:link w:val="Heading3"/>
    <w:uiPriority w:val="9"/>
    <w:rsid w:val="00F910A7"/>
    <w:rPr>
      <w:rFonts w:ascii="Times New Roman" w:eastAsia="Times New Roman" w:hAnsi="Times New Roman" w:cs="Times New Roman"/>
      <w:b/>
      <w:bCs/>
      <w:sz w:val="24"/>
      <w:szCs w:val="24"/>
      <w:lang w:val="en-US" w:eastAsia="en-US"/>
    </w:rPr>
  </w:style>
  <w:style w:type="paragraph" w:styleId="BodyText">
    <w:name w:val="Body Text"/>
    <w:basedOn w:val="Normal"/>
    <w:link w:val="BodyTextChar"/>
    <w:rsid w:val="00F910A7"/>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F910A7"/>
    <w:rPr>
      <w:rFonts w:ascii="Times New Roman" w:eastAsia="Times New Roman" w:hAnsi="Times New Roman" w:cs="Times New Roman"/>
      <w:sz w:val="24"/>
      <w:szCs w:val="24"/>
      <w:lang w:val="en-US" w:eastAsia="en-US"/>
    </w:rPr>
  </w:style>
  <w:style w:type="paragraph" w:styleId="BodyText2">
    <w:name w:val="Body Text 2"/>
    <w:basedOn w:val="Normal"/>
    <w:link w:val="BodyText2Char"/>
    <w:rsid w:val="00F910A7"/>
    <w:pPr>
      <w:spacing w:after="0" w:line="240" w:lineRule="auto"/>
      <w:jc w:val="center"/>
    </w:pPr>
    <w:rPr>
      <w:rFonts w:ascii="Times New Roman" w:eastAsia="Times New Roman" w:hAnsi="Times New Roman" w:cs="Times New Roman"/>
      <w:b/>
      <w:bCs/>
      <w:sz w:val="24"/>
      <w:szCs w:val="24"/>
    </w:rPr>
  </w:style>
  <w:style w:type="character" w:customStyle="1" w:styleId="BodyText2Char">
    <w:name w:val="Body Text 2 Char"/>
    <w:basedOn w:val="DefaultParagraphFont"/>
    <w:link w:val="BodyText2"/>
    <w:rsid w:val="00F910A7"/>
    <w:rPr>
      <w:rFonts w:ascii="Times New Roman" w:eastAsia="Times New Roman" w:hAnsi="Times New Roman" w:cs="Times New Roman"/>
      <w:b/>
      <w:bCs/>
      <w:sz w:val="24"/>
      <w:szCs w:val="24"/>
      <w:lang w:val="en-US" w:eastAsia="en-US"/>
    </w:rPr>
  </w:style>
  <w:style w:type="paragraph" w:styleId="HTMLPreformatted">
    <w:name w:val="HTML Preformatted"/>
    <w:basedOn w:val="Normal"/>
    <w:link w:val="HTMLPreformattedChar"/>
    <w:rsid w:val="00F910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sz w:val="20"/>
      <w:szCs w:val="20"/>
    </w:rPr>
  </w:style>
  <w:style w:type="character" w:customStyle="1" w:styleId="HTMLPreformattedChar">
    <w:name w:val="HTML Preformatted Char"/>
    <w:basedOn w:val="DefaultParagraphFont"/>
    <w:link w:val="HTMLPreformatted"/>
    <w:rsid w:val="00F910A7"/>
    <w:rPr>
      <w:rFonts w:ascii="Courier New" w:eastAsia="Courier New" w:hAnsi="Courier New" w:cs="Courier New"/>
      <w:sz w:val="20"/>
      <w:szCs w:val="20"/>
      <w:lang w:val="en-US" w:eastAsia="en-US"/>
    </w:rPr>
  </w:style>
  <w:style w:type="character" w:styleId="HTMLCite">
    <w:name w:val="HTML Cite"/>
    <w:basedOn w:val="DefaultParagraphFont"/>
    <w:uiPriority w:val="99"/>
    <w:unhideWhenUsed/>
    <w:rsid w:val="00F910A7"/>
    <w:rPr>
      <w:i/>
      <w:iCs/>
    </w:rPr>
  </w:style>
  <w:style w:type="paragraph" w:styleId="NoSpacing">
    <w:name w:val="No Spacing"/>
    <w:uiPriority w:val="1"/>
    <w:qFormat/>
    <w:rsid w:val="00F910A7"/>
    <w:pPr>
      <w:spacing w:after="0" w:line="240" w:lineRule="auto"/>
    </w:pPr>
  </w:style>
  <w:style w:type="paragraph" w:styleId="ListParagraph">
    <w:name w:val="List Paragraph"/>
    <w:basedOn w:val="Normal"/>
    <w:uiPriority w:val="34"/>
    <w:qFormat/>
    <w:rsid w:val="00DF79F4"/>
    <w:pPr>
      <w:ind w:left="720"/>
      <w:contextualSpacing/>
    </w:pPr>
    <w:rPr>
      <w:rFonts w:ascii="Calibri" w:eastAsia="Calibri" w:hAnsi="Calibri" w:cs="Times New Roman"/>
    </w:rPr>
  </w:style>
  <w:style w:type="character" w:styleId="Emphasis">
    <w:name w:val="Emphasis"/>
    <w:basedOn w:val="DefaultParagraphFont"/>
    <w:uiPriority w:val="20"/>
    <w:qFormat/>
    <w:rsid w:val="00DF79F4"/>
    <w:rPr>
      <w:i/>
      <w:iCs/>
    </w:rPr>
  </w:style>
  <w:style w:type="table" w:styleId="TableGrid">
    <w:name w:val="Table Grid"/>
    <w:basedOn w:val="TableNormal"/>
    <w:uiPriority w:val="59"/>
    <w:rsid w:val="00314772"/>
    <w:pPr>
      <w:spacing w:after="0" w:line="240" w:lineRule="auto"/>
    </w:pPr>
    <w:rPr>
      <w:rFonts w:ascii="Times New Roman" w:eastAsiaTheme="minorHAnsi" w:hAnsi="Times New Roman" w:cs="Times New Roman"/>
      <w:color w:val="000000"/>
      <w:sz w:val="24"/>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footnotemark">
    <w:name w:val="footnote mark"/>
    <w:hidden/>
    <w:rsid w:val="00506AE2"/>
    <w:rPr>
      <w:rFonts w:ascii="Times New Roman" w:eastAsia="Times New Roman" w:hAnsi="Times New Roman" w:cs="Times New Roman"/>
      <w:color w:val="000000"/>
      <w:sz w:val="20"/>
      <w:vertAlign w:val="superscript"/>
    </w:rPr>
  </w:style>
  <w:style w:type="paragraph" w:customStyle="1" w:styleId="Default">
    <w:name w:val="Default"/>
    <w:rsid w:val="002A4F55"/>
    <w:pPr>
      <w:autoSpaceDE w:val="0"/>
      <w:autoSpaceDN w:val="0"/>
      <w:adjustRightInd w:val="0"/>
      <w:spacing w:after="0" w:line="240" w:lineRule="auto"/>
    </w:pPr>
    <w:rPr>
      <w:rFonts w:ascii="Times New Roman" w:eastAsia="SimSun" w:hAnsi="Times New Roman" w:cs="Times New Roman"/>
      <w:color w:val="000000"/>
      <w:sz w:val="24"/>
      <w:szCs w:val="24"/>
      <w:lang w:eastAsia="zh-CN"/>
    </w:rPr>
  </w:style>
  <w:style w:type="character" w:customStyle="1" w:styleId="bodycopy1">
    <w:name w:val="bodycopy1"/>
    <w:basedOn w:val="DefaultParagraphFont"/>
    <w:rsid w:val="002A4F55"/>
    <w:rPr>
      <w:rFonts w:ascii="Verdana" w:hAnsi="Verdana" w:hint="default"/>
      <w:color w:val="000000"/>
      <w:sz w:val="17"/>
      <w:szCs w:val="17"/>
    </w:rPr>
  </w:style>
  <w:style w:type="character" w:customStyle="1" w:styleId="apple-converted-space">
    <w:name w:val="apple-converted-space"/>
    <w:basedOn w:val="DefaultParagraphFont"/>
    <w:rsid w:val="002A4F55"/>
  </w:style>
  <w:style w:type="paragraph" w:customStyle="1" w:styleId="hdfir">
    <w:name w:val="hd_fir"/>
    <w:basedOn w:val="Normal"/>
    <w:rsid w:val="002A4F55"/>
    <w:pPr>
      <w:spacing w:before="100" w:beforeAutospacing="1" w:after="100" w:afterAutospacing="1" w:line="240" w:lineRule="auto"/>
    </w:pPr>
    <w:rPr>
      <w:rFonts w:ascii="Times New Roman" w:eastAsia="Times New Roman" w:hAnsi="Times New Roman" w:cs="Times New Roman"/>
      <w:sz w:val="24"/>
      <w:szCs w:val="24"/>
    </w:rPr>
  </w:style>
  <w:style w:type="character" w:styleId="SubtleEmphasis">
    <w:name w:val="Subtle Emphasis"/>
    <w:basedOn w:val="DefaultParagraphFont"/>
    <w:uiPriority w:val="19"/>
    <w:qFormat/>
    <w:rsid w:val="000C3006"/>
    <w:rPr>
      <w:i/>
      <w:iCs/>
      <w:color w:val="404040" w:themeColor="text1" w:themeTint="BF"/>
    </w:rPr>
  </w:style>
  <w:style w:type="paragraph" w:customStyle="1" w:styleId="Pa11">
    <w:name w:val="Pa11"/>
    <w:basedOn w:val="Normal"/>
    <w:next w:val="Normal"/>
    <w:uiPriority w:val="99"/>
    <w:rsid w:val="000C3006"/>
    <w:pPr>
      <w:autoSpaceDE w:val="0"/>
      <w:autoSpaceDN w:val="0"/>
      <w:adjustRightInd w:val="0"/>
      <w:spacing w:after="0" w:line="201" w:lineRule="atLeast"/>
    </w:pPr>
    <w:rPr>
      <w:rFonts w:ascii="Frutiger LT Std 45 Light" w:eastAsiaTheme="minorHAnsi" w:hAnsi="Frutiger LT Std 45 Light"/>
      <w:sz w:val="24"/>
      <w:szCs w:val="24"/>
    </w:rPr>
  </w:style>
  <w:style w:type="character" w:customStyle="1" w:styleId="A6">
    <w:name w:val="A6"/>
    <w:uiPriority w:val="99"/>
    <w:rsid w:val="000C3006"/>
    <w:rPr>
      <w:rFonts w:cs="Frutiger LT Std 45 Light"/>
      <w:color w:val="000000"/>
      <w:sz w:val="12"/>
      <w:szCs w:val="12"/>
    </w:rPr>
  </w:style>
  <w:style w:type="paragraph" w:customStyle="1" w:styleId="Pa2">
    <w:name w:val="Pa2"/>
    <w:basedOn w:val="Normal"/>
    <w:next w:val="Normal"/>
    <w:uiPriority w:val="99"/>
    <w:rsid w:val="000C3006"/>
    <w:pPr>
      <w:autoSpaceDE w:val="0"/>
      <w:autoSpaceDN w:val="0"/>
      <w:adjustRightInd w:val="0"/>
      <w:spacing w:after="0" w:line="201" w:lineRule="atLeast"/>
    </w:pPr>
    <w:rPr>
      <w:rFonts w:ascii="Frutiger LT Std 45 Light" w:eastAsiaTheme="minorHAnsi" w:hAnsi="Frutiger LT Std 45 Light"/>
      <w:sz w:val="24"/>
      <w:szCs w:val="24"/>
    </w:rPr>
  </w:style>
  <w:style w:type="paragraph" w:styleId="Subtitle">
    <w:name w:val="Subtitle"/>
    <w:basedOn w:val="Normal"/>
    <w:next w:val="Normal"/>
    <w:link w:val="SubtitleChar"/>
    <w:uiPriority w:val="11"/>
    <w:qFormat/>
    <w:rsid w:val="000C3006"/>
    <w:pPr>
      <w:numPr>
        <w:ilvl w:val="1"/>
      </w:numPr>
      <w:spacing w:after="160" w:line="259" w:lineRule="auto"/>
    </w:pPr>
    <w:rPr>
      <w:color w:val="5A5A5A" w:themeColor="text1" w:themeTint="A5"/>
      <w:spacing w:val="15"/>
    </w:rPr>
  </w:style>
  <w:style w:type="character" w:customStyle="1" w:styleId="SubtitleChar">
    <w:name w:val="Subtitle Char"/>
    <w:basedOn w:val="DefaultParagraphFont"/>
    <w:link w:val="Subtitle"/>
    <w:uiPriority w:val="11"/>
    <w:rsid w:val="000C3006"/>
    <w:rPr>
      <w:color w:val="5A5A5A" w:themeColor="text1" w:themeTint="A5"/>
      <w:spacing w:val="15"/>
      <w:lang w:val="en-US" w:eastAsia="en-US"/>
    </w:rPr>
  </w:style>
  <w:style w:type="character" w:styleId="CommentReference">
    <w:name w:val="annotation reference"/>
    <w:basedOn w:val="DefaultParagraphFont"/>
    <w:uiPriority w:val="99"/>
    <w:semiHidden/>
    <w:unhideWhenUsed/>
    <w:rsid w:val="000C3006"/>
    <w:rPr>
      <w:sz w:val="18"/>
      <w:szCs w:val="18"/>
    </w:rPr>
  </w:style>
  <w:style w:type="paragraph" w:styleId="CommentText">
    <w:name w:val="annotation text"/>
    <w:basedOn w:val="Normal"/>
    <w:link w:val="CommentTextChar"/>
    <w:uiPriority w:val="99"/>
    <w:semiHidden/>
    <w:unhideWhenUsed/>
    <w:rsid w:val="000C3006"/>
    <w:pPr>
      <w:spacing w:line="240" w:lineRule="auto"/>
    </w:pPr>
    <w:rPr>
      <w:rFonts w:eastAsiaTheme="minorHAnsi"/>
      <w:sz w:val="24"/>
      <w:szCs w:val="24"/>
    </w:rPr>
  </w:style>
  <w:style w:type="character" w:customStyle="1" w:styleId="CommentTextChar">
    <w:name w:val="Comment Text Char"/>
    <w:basedOn w:val="DefaultParagraphFont"/>
    <w:link w:val="CommentText"/>
    <w:uiPriority w:val="99"/>
    <w:semiHidden/>
    <w:rsid w:val="000C3006"/>
    <w:rPr>
      <w:rFonts w:eastAsiaTheme="minorHAnsi"/>
      <w:sz w:val="24"/>
      <w:szCs w:val="24"/>
      <w:lang w:val="en-US" w:eastAsia="en-US"/>
    </w:rPr>
  </w:style>
  <w:style w:type="paragraph" w:styleId="CommentSubject">
    <w:name w:val="annotation subject"/>
    <w:basedOn w:val="CommentText"/>
    <w:next w:val="CommentText"/>
    <w:link w:val="CommentSubjectChar"/>
    <w:uiPriority w:val="99"/>
    <w:semiHidden/>
    <w:unhideWhenUsed/>
    <w:rsid w:val="000C3006"/>
    <w:rPr>
      <w:b/>
      <w:bCs/>
      <w:sz w:val="20"/>
      <w:szCs w:val="20"/>
    </w:rPr>
  </w:style>
  <w:style w:type="character" w:customStyle="1" w:styleId="CommentSubjectChar">
    <w:name w:val="Comment Subject Char"/>
    <w:basedOn w:val="CommentTextChar"/>
    <w:link w:val="CommentSubject"/>
    <w:uiPriority w:val="99"/>
    <w:semiHidden/>
    <w:rsid w:val="000C3006"/>
    <w:rPr>
      <w:rFonts w:eastAsiaTheme="minorHAnsi"/>
      <w:b/>
      <w:bCs/>
      <w:sz w:val="20"/>
      <w:szCs w:val="20"/>
      <w:lang w:val="en-US" w:eastAsia="en-US"/>
    </w:rPr>
  </w:style>
  <w:style w:type="character" w:customStyle="1" w:styleId="UnresolvedMention1">
    <w:name w:val="Unresolved Mention1"/>
    <w:basedOn w:val="DefaultParagraphFont"/>
    <w:uiPriority w:val="99"/>
    <w:semiHidden/>
    <w:unhideWhenUsed/>
    <w:rsid w:val="007E0D2E"/>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hmed.muhammed-mikaaeel@kwasu.edu.ng" TargetMode="External" /><Relationship Id="rId13" Type="http://schemas.openxmlformats.org/officeDocument/2006/relationships/footer" Target="footer2.xml"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footer" Target="footer1.xml" /><Relationship Id="rId17" Type="http://schemas.openxmlformats.org/officeDocument/2006/relationships/theme" Target="theme/theme1.xml" /><Relationship Id="rId2" Type="http://schemas.openxmlformats.org/officeDocument/2006/relationships/numbering" Target="numbering.xml" /><Relationship Id="rId16" Type="http://schemas.openxmlformats.org/officeDocument/2006/relationships/glossaryDocument" Target="glossary/document.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header" Target="header2.xml" /><Relationship Id="rId5" Type="http://schemas.openxmlformats.org/officeDocument/2006/relationships/webSettings" Target="webSettings.xml" /><Relationship Id="rId15" Type="http://schemas.openxmlformats.org/officeDocument/2006/relationships/fontTable" Target="fontTable.xml" /><Relationship Id="rId10" Type="http://schemas.openxmlformats.org/officeDocument/2006/relationships/header" Target="header1.xml" /><Relationship Id="rId4" Type="http://schemas.openxmlformats.org/officeDocument/2006/relationships/settings" Target="settings.xml" /><Relationship Id="rId9" Type="http://schemas.openxmlformats.org/officeDocument/2006/relationships/hyperlink" Target="mailto:itbalogunesq@gmail.com" TargetMode="External" /><Relationship Id="rId14" Type="http://schemas.openxmlformats.org/officeDocument/2006/relationships/header" Target="header3.xml" /></Relationships>
</file>

<file path=word/_rels/footnotes.xml.rels><?xml version="1.0" encoding="UTF-8" standalone="yes"?>
<Relationships xmlns="http://schemas.openxmlformats.org/package/2006/relationships"><Relationship Id="rId3" Type="http://schemas.openxmlformats.org/officeDocument/2006/relationships/hyperlink" Target="https://laws.lawnigeria.com/2020/05/15/limitation-law-of-lagos-state/" TargetMode="External" /><Relationship Id="rId2" Type="http://schemas.openxmlformats.org/officeDocument/2006/relationships/hyperlink" Target="https://www.academia.edu/42127461/The_Islamic_Law_of_Inheritance_Introduction-and_Theories" TargetMode="External" /><Relationship Id="rId1" Type="http://schemas.openxmlformats.org/officeDocument/2006/relationships/hyperlink" Target="https://kubanni.abu.edu.ng/bitstreams/1f3f0a4c-6533-4189-a487-3857b923500/download" TargetMode="External" /><Relationship Id="rId5" Type="http://schemas.openxmlformats.org/officeDocument/2006/relationships/hyperlink" Target="https://hrlibrary.umn.edu/research/Egypt/HumanRightsinI-slam.pdf" TargetMode="External" /><Relationship Id="rId4" Type="http://schemas.openxmlformats.org/officeDocument/2006/relationships/hyperlink" Target="https://commission-on-legal-pluralism.com/system/commission-on-legal-pluralism.com/system/commission//volumes/49/oba-art.pdf" TargetMode="External" /></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 /><Relationship Id="rId2" Type="http://schemas.openxmlformats.org/officeDocument/2006/relationships/settings" Target="settings.xml" /><Relationship Id="rId1" Type="http://schemas.openxmlformats.org/officeDocument/2006/relationships/styles" Target="styles.xml" /><Relationship Id="rId4" Type="http://schemas.openxmlformats.org/officeDocument/2006/relationships/fontTable" Target="fontTable.xml" /></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E1BDF5BA7564932824D4C9F799526DE"/>
        <w:category>
          <w:name w:val="General"/>
          <w:gallery w:val="placeholder"/>
        </w:category>
        <w:types>
          <w:type w:val="bbPlcHdr"/>
        </w:types>
        <w:behaviors>
          <w:behavior w:val="content"/>
        </w:behaviors>
        <w:guid w:val="{14206DA3-6A44-41B0-9A9A-DD01EF5A55EF}"/>
      </w:docPartPr>
      <w:docPartBody>
        <w:p w:rsidR="00167ED8" w:rsidRDefault="008D5190" w:rsidP="008D5190">
          <w:pPr>
            <w:pStyle w:val="8E1BDF5BA7564932824D4C9F799526DE"/>
          </w:pPr>
          <w:r>
            <w:t>[Type the company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notTrueType/>
    <w:pitch w:val="variable"/>
    <w:sig w:usb0="000002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utiger LT Std 45 Light">
    <w:altName w:val="Calibri"/>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4E0FD2"/>
    <w:rsid w:val="00082826"/>
    <w:rsid w:val="00094DC7"/>
    <w:rsid w:val="00101D9E"/>
    <w:rsid w:val="00105D8E"/>
    <w:rsid w:val="001223CA"/>
    <w:rsid w:val="0014043C"/>
    <w:rsid w:val="00153F2F"/>
    <w:rsid w:val="00167ED8"/>
    <w:rsid w:val="001771CF"/>
    <w:rsid w:val="001C1238"/>
    <w:rsid w:val="001D0AD0"/>
    <w:rsid w:val="00206852"/>
    <w:rsid w:val="00221802"/>
    <w:rsid w:val="00222934"/>
    <w:rsid w:val="00293CC2"/>
    <w:rsid w:val="002A32FF"/>
    <w:rsid w:val="002B38E2"/>
    <w:rsid w:val="002F6C84"/>
    <w:rsid w:val="00300422"/>
    <w:rsid w:val="003231FB"/>
    <w:rsid w:val="003241C6"/>
    <w:rsid w:val="00332A71"/>
    <w:rsid w:val="003801D0"/>
    <w:rsid w:val="003B66E6"/>
    <w:rsid w:val="003F077F"/>
    <w:rsid w:val="0041595F"/>
    <w:rsid w:val="00466EC7"/>
    <w:rsid w:val="004B47EA"/>
    <w:rsid w:val="004D4DD8"/>
    <w:rsid w:val="004E0FD2"/>
    <w:rsid w:val="00524E62"/>
    <w:rsid w:val="005A6A5B"/>
    <w:rsid w:val="005B1C5D"/>
    <w:rsid w:val="005E48D8"/>
    <w:rsid w:val="006272F7"/>
    <w:rsid w:val="0064201A"/>
    <w:rsid w:val="0064522C"/>
    <w:rsid w:val="006575DC"/>
    <w:rsid w:val="00657F42"/>
    <w:rsid w:val="0066492D"/>
    <w:rsid w:val="00685526"/>
    <w:rsid w:val="00697D65"/>
    <w:rsid w:val="006B1442"/>
    <w:rsid w:val="006C52D8"/>
    <w:rsid w:val="006D3EFA"/>
    <w:rsid w:val="006F2AD3"/>
    <w:rsid w:val="006F7965"/>
    <w:rsid w:val="0072220E"/>
    <w:rsid w:val="00752166"/>
    <w:rsid w:val="007A0C4B"/>
    <w:rsid w:val="007B6C5F"/>
    <w:rsid w:val="007C275A"/>
    <w:rsid w:val="007C61A1"/>
    <w:rsid w:val="007F572C"/>
    <w:rsid w:val="008165EF"/>
    <w:rsid w:val="00844388"/>
    <w:rsid w:val="0089639C"/>
    <w:rsid w:val="008C1624"/>
    <w:rsid w:val="008D5190"/>
    <w:rsid w:val="0091437D"/>
    <w:rsid w:val="00916162"/>
    <w:rsid w:val="009707C4"/>
    <w:rsid w:val="00997CF1"/>
    <w:rsid w:val="009B727F"/>
    <w:rsid w:val="009F2639"/>
    <w:rsid w:val="00A25DED"/>
    <w:rsid w:val="00A63C1A"/>
    <w:rsid w:val="00B16733"/>
    <w:rsid w:val="00B30E05"/>
    <w:rsid w:val="00B5577A"/>
    <w:rsid w:val="00B56336"/>
    <w:rsid w:val="00B57CE9"/>
    <w:rsid w:val="00BA231D"/>
    <w:rsid w:val="00BB0965"/>
    <w:rsid w:val="00BF27B2"/>
    <w:rsid w:val="00BF599A"/>
    <w:rsid w:val="00C1182F"/>
    <w:rsid w:val="00C837BC"/>
    <w:rsid w:val="00CC1D1B"/>
    <w:rsid w:val="00D04E3B"/>
    <w:rsid w:val="00D46FB8"/>
    <w:rsid w:val="00D548D9"/>
    <w:rsid w:val="00DB3FEB"/>
    <w:rsid w:val="00DF0542"/>
    <w:rsid w:val="00E1608D"/>
    <w:rsid w:val="00EC440D"/>
    <w:rsid w:val="00ED410A"/>
    <w:rsid w:val="00F17D6C"/>
    <w:rsid w:val="00F34F6F"/>
    <w:rsid w:val="00F44ECA"/>
    <w:rsid w:val="00F545EB"/>
    <w:rsid w:val="00F973B7"/>
    <w:rsid w:val="00FD4E45"/>
    <w:rsid w:val="00FF0E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3F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E1BDF5BA7564932824D4C9F799526DE">
    <w:name w:val="8E1BDF5BA7564932824D4C9F799526DE"/>
    <w:rsid w:val="008D519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Book</b:SourceType>
    <b:Guid>{D5D02E8E-B1FE-44FD-8797-6C56CA12FA8D}</b:Guid>
    <b:RefOrder>1</b:RefOrder>
  </b:Source>
</b:Sources>
</file>

<file path=customXml/itemProps1.xml><?xml version="1.0" encoding="utf-8"?>
<ds:datastoreItem xmlns:ds="http://schemas.openxmlformats.org/officeDocument/2006/customXml" ds:itemID="{0D4A75E6-18C8-4487-8E56-545DFD7D0397}">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4192</Words>
  <Characters>23898</Characters>
  <Application>Microsoft Office Word</Application>
  <DocSecurity>0</DocSecurity>
  <Lines>199</Lines>
  <Paragraphs>56</Paragraphs>
  <ScaleCrop>false</ScaleCrop>
  <HeadingPairs>
    <vt:vector size="2" baseType="variant">
      <vt:variant>
        <vt:lpstr>Title</vt:lpstr>
      </vt:variant>
      <vt:variant>
        <vt:i4>1</vt:i4>
      </vt:variant>
    </vt:vector>
  </HeadingPairs>
  <TitlesOfParts>
    <vt:vector size="1" baseType="lpstr">
      <vt:lpstr/>
    </vt:vector>
  </TitlesOfParts>
  <Company> ISSN (O): 2278-4764</Company>
  <LinksUpToDate>false</LinksUpToDate>
  <CharactersWithSpaces>28034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user18</dc:creator>
  <cp:lastModifiedBy>Ahmed Muhammed-Mikaaeel</cp:lastModifiedBy>
  <cp:revision>2</cp:revision>
  <cp:lastPrinted>2012-08-13T08:04:00Z</cp:lastPrinted>
  <dcterms:created xsi:type="dcterms:W3CDTF">2023-07-06T16:17:00Z</dcterms:created>
  <dcterms:modified xsi:type="dcterms:W3CDTF">2023-07-06T16:17:00Z</dcterms:modified>
</cp:coreProperties>
</file>