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Garamond" w:hAnsi="Garamond"/>
          <w:b/>
          <w:sz w:val="24"/>
          <w:szCs w:val="24"/>
        </w:rPr>
      </w:pPr>
      <w:bookmarkStart w:id="0" w:name="_Hlk110261014"/>
      <w:bookmarkEnd w:id="0"/>
      <w:r>
        <w:rPr>
          <w:rFonts w:ascii="Garamond" w:hAnsi="Garamond"/>
          <w:b/>
          <w:sz w:val="24"/>
          <w:szCs w:val="24"/>
        </w:rPr>
        <w:t>33</w:t>
      </w:r>
    </w:p>
    <w:p>
      <w:pPr>
        <w:jc w:val="center"/>
        <w:rPr>
          <w:rFonts w:ascii="Garamond" w:hAnsi="Garamond"/>
          <w:b/>
          <w:sz w:val="24"/>
          <w:szCs w:val="24"/>
        </w:rPr>
      </w:pPr>
      <w:r>
        <w:rPr>
          <w:rFonts w:ascii="Garamond" w:hAnsi="Garamond"/>
          <w:b/>
          <w:sz w:val="24"/>
          <w:szCs w:val="24"/>
        </w:rPr>
        <w:t>LE PROCESSUS D’ADAPTATION PHONÉTIQUE DES EMPRUNTS FRANÇAIS EN BAAT</w:t>
      </w:r>
      <w:r>
        <w:rPr>
          <w:rFonts w:ascii="Cambria" w:hAnsi="Cambria" w:cs="Cambria"/>
          <w:b/>
          <w:sz w:val="24"/>
          <w:szCs w:val="24"/>
        </w:rPr>
        <w:t>Ɔ</w:t>
      </w:r>
      <w:r>
        <w:rPr>
          <w:rFonts w:ascii="Garamond" w:hAnsi="Garamond"/>
          <w:b/>
          <w:sz w:val="24"/>
          <w:szCs w:val="24"/>
        </w:rPr>
        <w:t>NUM</w:t>
      </w:r>
    </w:p>
    <w:p>
      <w:pPr>
        <w:rPr>
          <w:rFonts w:ascii="Garamond" w:hAnsi="Garamond"/>
          <w:sz w:val="24"/>
          <w:szCs w:val="24"/>
        </w:rPr>
      </w:pPr>
    </w:p>
    <w:p>
      <w:pPr>
        <w:tabs>
          <w:tab w:val="left" w:pos="270"/>
        </w:tabs>
        <w:spacing w:line="480" w:lineRule="auto"/>
        <w:rPr>
          <w:rFonts w:ascii="Garamond" w:hAnsi="Garamond"/>
          <w:b/>
          <w:bCs/>
          <w:sz w:val="24"/>
          <w:szCs w:val="24"/>
        </w:rPr>
      </w:pPr>
      <w:r>
        <w:rPr>
          <w:rFonts w:ascii="Garamond" w:hAnsi="Garamond"/>
          <w:b/>
          <w:bCs/>
          <w:sz w:val="24"/>
          <w:szCs w:val="24"/>
        </w:rPr>
        <w:t>Résumé </w:t>
      </w:r>
    </w:p>
    <w:p>
      <w:pPr>
        <w:tabs>
          <w:tab w:val="left" w:pos="270"/>
        </w:tabs>
        <w:spacing w:line="240" w:lineRule="auto"/>
        <w:jc w:val="both"/>
        <w:rPr>
          <w:rFonts w:ascii="Garamond" w:hAnsi="Garamond"/>
          <w:sz w:val="24"/>
          <w:szCs w:val="24"/>
        </w:rPr>
      </w:pPr>
      <w:r>
        <w:rPr>
          <w:rFonts w:ascii="Garamond" w:hAnsi="Garamond"/>
          <w:sz w:val="24"/>
          <w:szCs w:val="24"/>
        </w:rPr>
        <w:t xml:space="preserve">À un moment ou à un autre de son existence, toute langue est amenée à connaître le phénomène de l’emprunt. </w:t>
      </w:r>
      <w:r>
        <w:rPr>
          <w:rFonts w:ascii="Times New Roman" w:hAnsi="Times New Roman"/>
          <w:sz w:val="24"/>
          <w:szCs w:val="24"/>
        </w:rPr>
        <w:t xml:space="preserve">L’emprunt n'implique pas un système linguistique ; il se limite à des éléments lexicaux pour combler les lacunes lexicales dans les langues et les cultures réceptrices. </w:t>
      </w:r>
      <w:r>
        <w:rPr>
          <w:rFonts w:ascii="Garamond" w:hAnsi="Garamond"/>
          <w:sz w:val="24"/>
          <w:szCs w:val="24"/>
          <w:lang w:eastAsia="fr-FR"/>
        </w:rPr>
        <w:t xml:space="preserve">La préoccupation majeure dans cette recherche </w:t>
      </w:r>
      <w:r>
        <w:rPr>
          <w:rFonts w:ascii="Garamond" w:hAnsi="Garamond"/>
          <w:sz w:val="24"/>
          <w:szCs w:val="24"/>
        </w:rPr>
        <w:t xml:space="preserve">est de relever le processus d’adaptation phonétique des emprunts de source française en langue baatonum. Une approche historico-descriptive est adoptée, c’est-à-dire une approche de l’étude d’une langue à travers son évolution. Nous nous intéressons aux identifications et aux descriptions linguistiques des emprunts français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tels que nous les avons recueillis entre janvier 2017 et décembre 2019. Les unités de base reconnues comme emprunts dans cette étude sont des mots/lexies. L’étude révèle que les baatonuphones ramèneront tous les phonèmes qu’ils ne possèdent pas dans leur langue maternelle au seul qu’ils sont habitués à réaliser. L’étude a également révélé que les mots d'emprunt peuvent être étrangers mais en cours de </w:t>
      </w:r>
      <w:r>
        <w:rPr>
          <w:rFonts w:ascii="Garamond" w:hAnsi="Garamond"/>
          <w:i/>
          <w:sz w:val="24"/>
          <w:szCs w:val="24"/>
        </w:rPr>
        <w:t>nativation</w:t>
      </w:r>
      <w:r>
        <w:rPr>
          <w:rFonts w:ascii="Garamond" w:hAnsi="Garamond"/>
          <w:sz w:val="24"/>
          <w:szCs w:val="24"/>
        </w:rPr>
        <w:t xml:space="preserve">, ils ont également acquis une prononciation qui est différente de celle du mot d’origine. La prononciation de ces emprunts a été soumise à l'intonation et à la syllabation de la langue </w:t>
      </w:r>
      <w:r>
        <w:rPr>
          <w:rFonts w:ascii="Garamond" w:hAnsi="Garamond"/>
          <w:i/>
          <w:sz w:val="24"/>
          <w:szCs w:val="24"/>
        </w:rPr>
        <w:t>baatonum</w:t>
      </w:r>
      <w:r>
        <w:rPr>
          <w:rFonts w:ascii="Garamond" w:hAnsi="Garamond"/>
          <w:sz w:val="24"/>
          <w:szCs w:val="24"/>
        </w:rPr>
        <w:t>.</w:t>
      </w:r>
    </w:p>
    <w:p>
      <w:pPr>
        <w:tabs>
          <w:tab w:val="left" w:pos="270"/>
        </w:tabs>
        <w:spacing w:line="480" w:lineRule="auto"/>
        <w:rPr>
          <w:rFonts w:ascii="Garamond" w:hAnsi="Garamond"/>
          <w:b/>
          <w:bCs/>
          <w:sz w:val="24"/>
          <w:szCs w:val="24"/>
        </w:rPr>
      </w:pPr>
      <w:r>
        <w:rPr>
          <w:rFonts w:ascii="Garamond" w:hAnsi="Garamond"/>
          <w:b/>
          <w:bCs/>
          <w:sz w:val="24"/>
          <w:szCs w:val="24"/>
        </w:rPr>
        <w:t>Mots clés </w:t>
      </w:r>
    </w:p>
    <w:p>
      <w:pPr>
        <w:tabs>
          <w:tab w:val="left" w:pos="270"/>
        </w:tabs>
        <w:spacing w:line="480" w:lineRule="auto"/>
        <w:rPr>
          <w:rFonts w:ascii="Garamond" w:hAnsi="Garamond"/>
          <w:b/>
          <w:bCs/>
          <w:sz w:val="24"/>
          <w:szCs w:val="24"/>
        </w:rPr>
      </w:pPr>
      <w:r>
        <w:rPr>
          <w:rFonts w:ascii="Garamond" w:hAnsi="Garamond"/>
          <w:b/>
          <w:bCs/>
          <w:sz w:val="24"/>
          <w:szCs w:val="24"/>
        </w:rPr>
        <w:t>Phonétique, adaptation, emprunt linguistique, baatonum, contact linguistique.</w:t>
      </w:r>
    </w:p>
    <w:p>
      <w:pPr>
        <w:spacing w:after="0" w:line="240" w:lineRule="auto"/>
        <w:rPr>
          <w:rFonts w:ascii="Garamond" w:hAnsi="Garamond"/>
          <w:b/>
          <w:sz w:val="24"/>
          <w:szCs w:val="24"/>
        </w:rPr>
      </w:pPr>
      <w:r>
        <w:rPr>
          <w:rFonts w:ascii="Garamond" w:hAnsi="Garamond"/>
          <w:b/>
          <w:sz w:val="24"/>
          <w:szCs w:val="24"/>
        </w:rPr>
        <w:br w:type="page"/>
      </w:r>
    </w:p>
    <w:p>
      <w:pPr>
        <w:tabs>
          <w:tab w:val="left" w:pos="270"/>
        </w:tabs>
        <w:spacing w:line="480" w:lineRule="auto"/>
        <w:rPr>
          <w:rFonts w:ascii="Garamond" w:hAnsi="Garamond"/>
          <w:b/>
          <w:sz w:val="24"/>
          <w:szCs w:val="24"/>
        </w:rPr>
      </w:pPr>
      <w:r>
        <w:rPr>
          <w:rFonts w:ascii="Garamond" w:hAnsi="Garamond"/>
          <w:b/>
          <w:sz w:val="24"/>
          <w:szCs w:val="24"/>
        </w:rPr>
        <w:t>Introduction</w:t>
      </w:r>
    </w:p>
    <w:p>
      <w:pPr>
        <w:tabs>
          <w:tab w:val="left" w:pos="270"/>
          <w:tab w:val="left" w:pos="8451"/>
        </w:tabs>
        <w:autoSpaceDE w:val="0"/>
        <w:autoSpaceDN w:val="0"/>
        <w:adjustRightInd w:val="0"/>
        <w:spacing w:after="0" w:line="480" w:lineRule="auto"/>
        <w:ind w:right="-9"/>
        <w:jc w:val="both"/>
        <w:rPr>
          <w:rFonts w:ascii="Garamond" w:hAnsi="Garamond"/>
          <w:sz w:val="24"/>
          <w:szCs w:val="24"/>
        </w:rPr>
      </w:pPr>
      <w:r>
        <w:rPr>
          <w:rFonts w:ascii="Garamond" w:hAnsi="Garamond"/>
          <w:sz w:val="24"/>
          <w:szCs w:val="24"/>
        </w:rPr>
        <w:t>Quand deux ou plusieurs langues ou variétés de langue se rencontrent pour s’influencer on constate un phénomène de contact linguistique. Ce phénomène est une réalité universelle puisque l’homme a besoin d’interagir pour survivre, le remarque Oshounniran (2013 :7) qui ajoute que « le contact des peuples entraîne le contact des langues qui leur sert de medium de communication ».</w:t>
      </w:r>
      <w:r>
        <w:rPr>
          <w:rFonts w:ascii="Garamond" w:hAnsi="Garamond"/>
          <w:i/>
          <w:iCs/>
          <w:sz w:val="24"/>
          <w:szCs w:val="24"/>
        </w:rPr>
        <w:t xml:space="preserve"> </w:t>
      </w:r>
      <w:r>
        <w:rPr>
          <w:rFonts w:ascii="Garamond" w:hAnsi="Garamond"/>
          <w:sz w:val="24"/>
          <w:szCs w:val="24"/>
        </w:rPr>
        <w:t>Quand les langues se rencontrent, elles s’influencent ou s’enrichissent. Pour leur part, Mudimbe et al. (1977 :2) ajoutent que « quand deux langues sont employées dans un même milieu, elles s’enrichissent mutuellement, même si leur statut était différent, même si on les estimait l’une « riche et élégante », l’autre « pauvre et barbare</w:t>
      </w:r>
      <w:r>
        <w:rPr>
          <w:rFonts w:ascii="Garamond" w:hAnsi="Garamond"/>
          <w:i/>
          <w:iCs/>
          <w:sz w:val="24"/>
          <w:szCs w:val="24"/>
        </w:rPr>
        <w:t> ».</w:t>
      </w:r>
      <w:r>
        <w:rPr>
          <w:rFonts w:ascii="Garamond" w:hAnsi="Garamond"/>
          <w:sz w:val="24"/>
          <w:szCs w:val="24"/>
        </w:rPr>
        <w:t xml:space="preserve"> Nous postulons donc que toutes les langues ont été influencées, à un moment ou à un autre, à travers leurs contacts.  </w:t>
      </w:r>
      <w:r>
        <w:rPr>
          <w:rFonts w:ascii="Garamond" w:hAnsi="Garamond"/>
          <w:sz w:val="24"/>
          <w:szCs w:val="24"/>
          <w:lang w:val="en-US"/>
        </w:rPr>
        <w:t>Winford (2003 :26) postule que « …foreign influence may be introduced into the language by individuals who travels or by the mass media, or through langage teaching in schools, churches etc »</w:t>
      </w:r>
      <w:r>
        <w:rPr>
          <w:rFonts w:ascii="Garamond" w:hAnsi="Garamond"/>
          <w:i/>
          <w:iCs/>
          <w:sz w:val="24"/>
          <w:szCs w:val="24"/>
          <w:lang w:val="en-US"/>
        </w:rPr>
        <w:t>.</w:t>
      </w:r>
      <w:r>
        <w:rPr>
          <w:rFonts w:ascii="Garamond" w:hAnsi="Garamond"/>
          <w:sz w:val="24"/>
          <w:szCs w:val="24"/>
          <w:lang w:val="en-US"/>
        </w:rPr>
        <w:t xml:space="preserve"> </w:t>
      </w:r>
      <w:r>
        <w:rPr>
          <w:rFonts w:ascii="Garamond" w:hAnsi="Garamond"/>
          <w:sz w:val="24"/>
          <w:szCs w:val="24"/>
        </w:rPr>
        <w:t xml:space="preserve">(l’influence étrangère peut être introduite dans la langue à travers des individus qui voyagent, ou par les mass media, ou à travers l’enseignement de langue à l’école, à l’église etc.). Nous déduisons de ces propos que les langues des communautés monolinguistiques qui n’ont pas de contact direct avec les locuteurs d’autres langues peuvent être aussi influencées. De ce fait, l’influence de la langue française sur la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parlée dans la région de Borgou au Bénin et Baruten au Nigéria n’est pas par hasard. Aussi, considérant la frontière politique entre les deux pays, ces populations de la même aire géographique et ethnoculturelle interagissent et partagent les mêmes moyens de communication. Si le français, langue officielle de la République du Bénin est encore en contact avec l’une des langues nationales du Bénin qui est aussi parlée au Nigéria, il faut reconnaitre que cela a été principalement l’effet de la colonisation, de l’immigration, de l’éducation, de la géographie, de la politique linguistique, de l’histoire, du commerce, etc.</w:t>
      </w:r>
    </w:p>
    <w:p>
      <w:pPr>
        <w:tabs>
          <w:tab w:val="left" w:pos="270"/>
          <w:tab w:val="left" w:pos="8451"/>
        </w:tabs>
        <w:autoSpaceDE w:val="0"/>
        <w:autoSpaceDN w:val="0"/>
        <w:adjustRightInd w:val="0"/>
        <w:spacing w:after="0" w:line="480" w:lineRule="auto"/>
        <w:ind w:right="-9"/>
        <w:jc w:val="both"/>
        <w:rPr>
          <w:rFonts w:ascii="Garamond" w:hAnsi="Garamond"/>
          <w:sz w:val="24"/>
          <w:szCs w:val="24"/>
        </w:rPr>
      </w:pPr>
      <w:r>
        <w:rPr>
          <w:rFonts w:ascii="Garamond" w:hAnsi="Garamond"/>
          <w:sz w:val="24"/>
          <w:szCs w:val="24"/>
        </w:rPr>
        <w:t xml:space="preserve">L’influence la plus simple que subit une langue s’exprime par l’emprunt linguistique, phénomène courant et universel. Autrement dit, l’emprunt est le procédé d’enrichissement linguistique le plus simple et le plus universel. La plupart des lexèmes de source française intégrés dans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ont été exposés à multiples altérations phonétiques. Ils ont été modifiés et restructurés suivant le canon phonetique de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w:t>
      </w:r>
      <w:r>
        <w:rPr>
          <w:rFonts w:ascii="Garamond" w:hAnsi="Garamond"/>
          <w:sz w:val="24"/>
          <w:szCs w:val="24"/>
          <w:lang w:eastAsia="fr-FR"/>
        </w:rPr>
        <w:t xml:space="preserve">La préoccupation majeure dans cette recherche </w:t>
      </w:r>
      <w:r>
        <w:rPr>
          <w:rFonts w:ascii="Garamond" w:hAnsi="Garamond"/>
          <w:sz w:val="24"/>
          <w:szCs w:val="24"/>
        </w:rPr>
        <w:t>est de relever le processus d’adaptation phonétique des emprunts de source française en langue baatonum.</w:t>
      </w:r>
    </w:p>
    <w:p>
      <w:pPr>
        <w:tabs>
          <w:tab w:val="left" w:pos="270"/>
        </w:tabs>
        <w:spacing w:after="0" w:line="480" w:lineRule="auto"/>
        <w:jc w:val="both"/>
        <w:rPr>
          <w:rFonts w:ascii="Garamond" w:hAnsi="Garamond"/>
          <w:sz w:val="24"/>
          <w:szCs w:val="24"/>
        </w:rPr>
      </w:pPr>
    </w:p>
    <w:p>
      <w:pPr>
        <w:tabs>
          <w:tab w:val="left" w:pos="270"/>
        </w:tabs>
        <w:autoSpaceDE w:val="0"/>
        <w:adjustRightInd w:val="0"/>
        <w:spacing w:after="0" w:line="480" w:lineRule="auto"/>
        <w:ind w:firstLine="540"/>
        <w:jc w:val="both"/>
        <w:rPr>
          <w:rFonts w:ascii="Garamond" w:hAnsi="Garamond"/>
          <w:b/>
          <w:sz w:val="24"/>
          <w:szCs w:val="24"/>
          <w:shd w:val="clear" w:color="auto" w:fill="FFFFFF"/>
        </w:rPr>
      </w:pPr>
      <w:r>
        <w:rPr>
          <w:rFonts w:ascii="Garamond" w:hAnsi="Garamond"/>
          <w:b/>
          <w:sz w:val="24"/>
          <w:szCs w:val="24"/>
          <w:shd w:val="clear" w:color="auto" w:fill="FFFFFF"/>
        </w:rPr>
        <w:t>La langue baat</w:t>
      </w:r>
      <w:r>
        <w:rPr>
          <w:rFonts w:ascii="Times New Roman" w:hAnsi="Times New Roman"/>
          <w:b/>
          <w:sz w:val="24"/>
          <w:szCs w:val="24"/>
          <w:shd w:val="clear" w:color="auto" w:fill="FFFFFF"/>
        </w:rPr>
        <w:t>ɔ</w:t>
      </w:r>
      <w:r>
        <w:rPr>
          <w:rFonts w:ascii="Garamond" w:hAnsi="Garamond"/>
          <w:b/>
          <w:sz w:val="24"/>
          <w:szCs w:val="24"/>
          <w:shd w:val="clear" w:color="auto" w:fill="FFFFFF"/>
        </w:rPr>
        <w:t>num : contextualisation</w:t>
      </w:r>
    </w:p>
    <w:p>
      <w:pPr>
        <w:tabs>
          <w:tab w:val="left" w:pos="270"/>
        </w:tabs>
        <w:autoSpaceDE w:val="0"/>
        <w:adjustRightInd w:val="0"/>
        <w:spacing w:after="0" w:line="480" w:lineRule="auto"/>
        <w:ind w:firstLine="540"/>
        <w:jc w:val="both"/>
        <w:rPr>
          <w:rFonts w:ascii="Garamond" w:hAnsi="Garamond"/>
          <w:sz w:val="24"/>
          <w:szCs w:val="24"/>
        </w:rPr>
      </w:pPr>
      <w:r>
        <w:rPr>
          <w:rFonts w:ascii="Garamond" w:hAnsi="Garamond"/>
          <w:sz w:val="24"/>
          <w:szCs w:val="24"/>
          <w:shd w:val="clear" w:color="auto" w:fill="FFFFFF"/>
        </w:rPr>
        <w:t xml:space="preserve">Le </w:t>
      </w:r>
      <w:r>
        <w:rPr>
          <w:rFonts w:ascii="Garamond" w:hAnsi="Garamond"/>
          <w:i/>
          <w:sz w:val="24"/>
          <w:szCs w:val="24"/>
          <w:shd w:val="clear" w:color="auto" w:fill="FFFFFF"/>
        </w:rPr>
        <w:t>baat</w:t>
      </w:r>
      <w:r>
        <w:rPr>
          <w:rFonts w:ascii="Times New Roman" w:hAnsi="Times New Roman"/>
          <w:i/>
          <w:sz w:val="24"/>
          <w:szCs w:val="24"/>
          <w:shd w:val="clear" w:color="auto" w:fill="FFFFFF"/>
        </w:rPr>
        <w:t>ɔ</w:t>
      </w:r>
      <w:r>
        <w:rPr>
          <w:rFonts w:ascii="Garamond" w:hAnsi="Garamond"/>
          <w:i/>
          <w:sz w:val="24"/>
          <w:szCs w:val="24"/>
          <w:shd w:val="clear" w:color="auto" w:fill="FFFFFF"/>
        </w:rPr>
        <w:t>num,</w:t>
      </w:r>
      <w:r>
        <w:rPr>
          <w:rFonts w:ascii="Garamond" w:hAnsi="Garamond"/>
          <w:sz w:val="24"/>
          <w:szCs w:val="24"/>
          <w:shd w:val="clear" w:color="auto" w:fill="FFFFFF"/>
        </w:rPr>
        <w:t xml:space="preserve"> qui a le code des langues ISO 639-3, bba (</w:t>
      </w:r>
      <w:r>
        <w:fldChar w:fldCharType="begin"/>
      </w:r>
      <w:r>
        <w:instrText xml:space="preserve"> HYPERLINK "https://fr.wikipedia.org/wiki/Bariba" </w:instrText>
      </w:r>
      <w:r>
        <w:fldChar w:fldCharType="separate"/>
      </w:r>
      <w:r>
        <w:rPr>
          <w:rFonts w:ascii="Garamond" w:hAnsi="Garamond"/>
          <w:sz w:val="24"/>
          <w:szCs w:val="24"/>
          <w:shd w:val="clear" w:color="auto" w:fill="FFFFFF"/>
        </w:rPr>
        <w:t>https://fr.wikipedia.org/wiki/Bariba</w:t>
      </w:r>
      <w:r>
        <w:rPr>
          <w:rFonts w:ascii="Garamond" w:hAnsi="Garamond"/>
          <w:sz w:val="24"/>
          <w:szCs w:val="24"/>
          <w:shd w:val="clear" w:color="auto" w:fill="FFFFFF"/>
        </w:rPr>
        <w:fldChar w:fldCharType="end"/>
      </w:r>
      <w:r>
        <w:rPr>
          <w:rFonts w:ascii="Garamond" w:hAnsi="Garamond"/>
          <w:sz w:val="24"/>
          <w:szCs w:val="24"/>
          <w:shd w:val="clear" w:color="auto" w:fill="FFFFFF"/>
        </w:rPr>
        <w:t xml:space="preserve">), appartient au groupe des langues voltaïques ou gur (Gouroubéra, 2002). En revanche, la place du </w:t>
      </w:r>
      <w:r>
        <w:rPr>
          <w:rFonts w:ascii="Garamond" w:hAnsi="Garamond"/>
          <w:i/>
          <w:sz w:val="24"/>
          <w:szCs w:val="24"/>
          <w:shd w:val="clear" w:color="auto" w:fill="FFFFFF"/>
        </w:rPr>
        <w:t>baat</w:t>
      </w:r>
      <w:r>
        <w:rPr>
          <w:rFonts w:ascii="Times New Roman" w:hAnsi="Times New Roman"/>
          <w:i/>
          <w:sz w:val="24"/>
          <w:szCs w:val="24"/>
          <w:shd w:val="clear" w:color="auto" w:fill="FFFFFF"/>
        </w:rPr>
        <w:t>ɔ</w:t>
      </w:r>
      <w:r>
        <w:rPr>
          <w:rFonts w:ascii="Garamond" w:hAnsi="Garamond"/>
          <w:i/>
          <w:sz w:val="24"/>
          <w:szCs w:val="24"/>
          <w:shd w:val="clear" w:color="auto" w:fill="FFFFFF"/>
        </w:rPr>
        <w:t>num</w:t>
      </w:r>
      <w:r>
        <w:rPr>
          <w:rFonts w:ascii="Garamond" w:hAnsi="Garamond"/>
          <w:sz w:val="24"/>
          <w:szCs w:val="24"/>
          <w:shd w:val="clear" w:color="auto" w:fill="FFFFFF"/>
        </w:rPr>
        <w:t xml:space="preserve"> au sein de l’arbre généalogique semble toujours poser des problèmes (Gouroubéra, 2002). De ce fait, beaucoup d’hypothèses sont formulées. Alors que </w:t>
      </w:r>
      <w:r>
        <w:rPr>
          <w:rFonts w:ascii="Garamond" w:hAnsi="Garamond"/>
          <w:sz w:val="24"/>
          <w:szCs w:val="24"/>
        </w:rPr>
        <w:t xml:space="preserve">Welmers (1952) explique que </w:t>
      </w:r>
      <w:r>
        <w:rPr>
          <w:rFonts w:ascii="Garamond" w:hAnsi="Garamond"/>
          <w:i/>
          <w:iCs/>
          <w:sz w:val="24"/>
          <w:szCs w:val="24"/>
        </w:rPr>
        <w:t>“</w:t>
      </w:r>
      <w:r>
        <w:rPr>
          <w:rFonts w:ascii="Garamond" w:hAnsi="Garamond"/>
          <w:bCs/>
          <w:sz w:val="24"/>
          <w:szCs w:val="24"/>
        </w:rPr>
        <w:t>bariba is remarkably similar in structure to languages in the Senufo group in the Ivory Coast and Sudan”</w:t>
      </w:r>
      <w:r>
        <w:rPr>
          <w:rFonts w:ascii="Garamond" w:hAnsi="Garamond"/>
          <w:bCs/>
          <w:i/>
          <w:iCs/>
          <w:sz w:val="24"/>
          <w:szCs w:val="24"/>
        </w:rPr>
        <w:t xml:space="preserve">, </w:t>
      </w:r>
      <w:r>
        <w:rPr>
          <w:rFonts w:ascii="Garamond" w:hAnsi="Garamond"/>
          <w:sz w:val="24"/>
          <w:szCs w:val="24"/>
          <w:shd w:val="clear" w:color="auto" w:fill="FFFFFF"/>
        </w:rPr>
        <w:t xml:space="preserve">Naden (1989) classe le </w:t>
      </w:r>
      <w:r>
        <w:rPr>
          <w:rFonts w:ascii="Garamond" w:hAnsi="Garamond"/>
          <w:i/>
          <w:sz w:val="24"/>
          <w:szCs w:val="24"/>
          <w:shd w:val="clear" w:color="auto" w:fill="FFFFFF"/>
        </w:rPr>
        <w:t>baat</w:t>
      </w:r>
      <w:r>
        <w:rPr>
          <w:rFonts w:ascii="Times New Roman" w:hAnsi="Times New Roman"/>
          <w:i/>
          <w:sz w:val="24"/>
          <w:szCs w:val="24"/>
          <w:shd w:val="clear" w:color="auto" w:fill="FFFFFF"/>
        </w:rPr>
        <w:t>ɔ</w:t>
      </w:r>
      <w:r>
        <w:rPr>
          <w:rFonts w:ascii="Garamond" w:hAnsi="Garamond"/>
          <w:i/>
          <w:sz w:val="24"/>
          <w:szCs w:val="24"/>
          <w:shd w:val="clear" w:color="auto" w:fill="FFFFFF"/>
        </w:rPr>
        <w:t>num</w:t>
      </w:r>
      <w:r>
        <w:rPr>
          <w:rFonts w:ascii="Garamond" w:hAnsi="Garamond"/>
          <w:sz w:val="24"/>
          <w:szCs w:val="24"/>
          <w:shd w:val="clear" w:color="auto" w:fill="FFFFFF"/>
        </w:rPr>
        <w:t xml:space="preserve"> comme « Possible Central Gur ». De même, Manessy (1993, 1996) précise l’appartenance du </w:t>
      </w:r>
      <w:r>
        <w:rPr>
          <w:rFonts w:ascii="Garamond" w:hAnsi="Garamond"/>
          <w:i/>
          <w:sz w:val="24"/>
          <w:szCs w:val="24"/>
          <w:shd w:val="clear" w:color="auto" w:fill="FFFFFF"/>
        </w:rPr>
        <w:t>baat</w:t>
      </w:r>
      <w:r>
        <w:rPr>
          <w:rFonts w:ascii="Times New Roman" w:hAnsi="Times New Roman"/>
          <w:i/>
          <w:sz w:val="24"/>
          <w:szCs w:val="24"/>
          <w:shd w:val="clear" w:color="auto" w:fill="FFFFFF"/>
        </w:rPr>
        <w:t>ɔ</w:t>
      </w:r>
      <w:r>
        <w:rPr>
          <w:rFonts w:ascii="Garamond" w:hAnsi="Garamond"/>
          <w:i/>
          <w:sz w:val="24"/>
          <w:szCs w:val="24"/>
          <w:shd w:val="clear" w:color="auto" w:fill="FFFFFF"/>
        </w:rPr>
        <w:t>num</w:t>
      </w:r>
      <w:r>
        <w:rPr>
          <w:rFonts w:ascii="Garamond" w:hAnsi="Garamond"/>
          <w:sz w:val="24"/>
          <w:szCs w:val="24"/>
          <w:shd w:val="clear" w:color="auto" w:fill="FFFFFF"/>
        </w:rPr>
        <w:t xml:space="preserve"> au gur centre-sud à côté du </w:t>
      </w:r>
      <w:r>
        <w:rPr>
          <w:rFonts w:ascii="Garamond" w:hAnsi="Garamond"/>
          <w:i/>
          <w:sz w:val="24"/>
          <w:szCs w:val="24"/>
          <w:shd w:val="clear" w:color="auto" w:fill="FFFFFF"/>
        </w:rPr>
        <w:t>padogho</w:t>
      </w:r>
      <w:r>
        <w:rPr>
          <w:rFonts w:ascii="Garamond" w:hAnsi="Garamond"/>
          <w:sz w:val="24"/>
          <w:szCs w:val="24"/>
          <w:shd w:val="clear" w:color="auto" w:fill="FFFFFF"/>
        </w:rPr>
        <w:t xml:space="preserve"> et du </w:t>
      </w:r>
      <w:r>
        <w:rPr>
          <w:rFonts w:ascii="Garamond" w:hAnsi="Garamond"/>
          <w:i/>
          <w:sz w:val="24"/>
          <w:szCs w:val="24"/>
          <w:shd w:val="clear" w:color="auto" w:fill="FFFFFF"/>
        </w:rPr>
        <w:t>kulango</w:t>
      </w:r>
      <w:r>
        <w:rPr>
          <w:rFonts w:ascii="Garamond" w:hAnsi="Garamond"/>
          <w:sz w:val="24"/>
          <w:szCs w:val="24"/>
          <w:shd w:val="clear" w:color="auto" w:fill="FFFFFF"/>
        </w:rPr>
        <w:t xml:space="preserve"> tandis que </w:t>
      </w:r>
      <w:r>
        <w:rPr>
          <w:rFonts w:ascii="Garamond" w:hAnsi="Garamond"/>
          <w:sz w:val="24"/>
          <w:szCs w:val="24"/>
        </w:rPr>
        <w:t xml:space="preserve">pour Sanusi (2001) cette langue appartient au groupe des langues gur </w:t>
      </w:r>
      <w:r>
        <w:rPr>
          <w:rFonts w:ascii="Garamond" w:hAnsi="Garamond"/>
          <w:iCs/>
          <w:sz w:val="24"/>
          <w:szCs w:val="24"/>
        </w:rPr>
        <w:t>(langues dites voltaïques), sous-groupe des Niger-Congo</w:t>
      </w:r>
      <w:r>
        <w:rPr>
          <w:rFonts w:ascii="Garamond" w:hAnsi="Garamond"/>
          <w:sz w:val="24"/>
          <w:szCs w:val="24"/>
        </w:rPr>
        <w:t xml:space="preserve">. C’est cette dernière classification que nous retenons à la suite de Sanusi (2001), </w:t>
      </w:r>
      <w:r>
        <w:rPr>
          <w:rFonts w:ascii="Garamond" w:hAnsi="Garamond"/>
          <w:sz w:val="24"/>
          <w:szCs w:val="24"/>
          <w:shd w:val="clear" w:color="auto" w:fill="FFFFFF"/>
        </w:rPr>
        <w:t>Manessy (1993,1999)</w:t>
      </w:r>
      <w:r>
        <w:rPr>
          <w:rFonts w:ascii="Garamond" w:hAnsi="Garamond"/>
          <w:sz w:val="24"/>
          <w:szCs w:val="24"/>
        </w:rPr>
        <w:t>.</w:t>
      </w:r>
      <w:r>
        <w:rPr>
          <w:rFonts w:ascii="Garamond" w:hAnsi="Garamond"/>
          <w:b/>
          <w:bCs/>
          <w:sz w:val="24"/>
          <w:szCs w:val="24"/>
        </w:rPr>
        <w:t xml:space="preserve">                                        </w:t>
      </w:r>
    </w:p>
    <w:p>
      <w:pPr>
        <w:tabs>
          <w:tab w:val="left" w:pos="270"/>
        </w:tabs>
        <w:autoSpaceDE w:val="0"/>
        <w:autoSpaceDN w:val="0"/>
        <w:adjustRightInd w:val="0"/>
        <w:spacing w:after="0" w:line="480" w:lineRule="auto"/>
        <w:jc w:val="both"/>
        <w:rPr>
          <w:rFonts w:ascii="Garamond" w:hAnsi="Garamond"/>
          <w:b/>
          <w:sz w:val="24"/>
          <w:szCs w:val="24"/>
        </w:rPr>
      </w:pPr>
      <w:r>
        <w:rPr>
          <w:rFonts w:ascii="Garamond" w:hAnsi="Garamond" w:eastAsia="Times New Roman"/>
          <w:sz w:val="24"/>
          <w:szCs w:val="24"/>
          <w:lang w:eastAsia="fr-FR"/>
        </w:rPr>
        <w:t xml:space="preserve">Le </w:t>
      </w:r>
      <w:r>
        <w:rPr>
          <w:rFonts w:ascii="Garamond" w:hAnsi="Garamond" w:eastAsia="Times New Roman"/>
          <w:i/>
          <w:sz w:val="24"/>
          <w:szCs w:val="24"/>
          <w:lang w:eastAsia="fr-FR"/>
        </w:rPr>
        <w:t>baat</w:t>
      </w:r>
      <w:r>
        <w:rPr>
          <w:rFonts w:ascii="Times New Roman" w:hAnsi="Times New Roman" w:eastAsia="Times New Roman"/>
          <w:i/>
          <w:sz w:val="24"/>
          <w:szCs w:val="24"/>
          <w:lang w:eastAsia="fr-FR"/>
        </w:rPr>
        <w:t>ɔ</w:t>
      </w:r>
      <w:r>
        <w:rPr>
          <w:rFonts w:ascii="Garamond" w:hAnsi="Garamond" w:eastAsia="Times New Roman"/>
          <w:i/>
          <w:sz w:val="24"/>
          <w:szCs w:val="24"/>
          <w:lang w:eastAsia="fr-FR"/>
        </w:rPr>
        <w:t>num</w:t>
      </w:r>
      <w:r>
        <w:rPr>
          <w:rFonts w:ascii="Garamond" w:hAnsi="Garamond" w:eastAsia="Times New Roman"/>
          <w:sz w:val="24"/>
          <w:szCs w:val="24"/>
          <w:lang w:eastAsia="fr-FR"/>
        </w:rPr>
        <w:t xml:space="preserve"> connaît plusieurs variantes dialectales. Ces variations sont aussi bien phonétiques que morphologiques (Prost 1979). </w:t>
      </w:r>
      <w:r>
        <w:rPr>
          <w:rFonts w:ascii="Garamond" w:hAnsi="Garamond"/>
          <w:sz w:val="24"/>
          <w:szCs w:val="24"/>
          <w:shd w:val="clear" w:color="auto" w:fill="FFFFFF"/>
        </w:rPr>
        <w:t xml:space="preserve">Yamaro (2002 : 145) et Saka (1989 :15) affirment que parmi les nombreuses variantes, trois grandes variantes sont remarquables, à savoir les dialectes de la région </w:t>
      </w:r>
      <w:r>
        <w:rPr>
          <w:rFonts w:ascii="Garamond" w:hAnsi="Garamond"/>
          <w:bCs/>
          <w:sz w:val="24"/>
          <w:szCs w:val="24"/>
        </w:rPr>
        <w:t xml:space="preserve">Nikki–N’dali–Parakou, Banikoara–Kerou–Kandi et Kouande–Pehunco–Tobre. </w:t>
      </w:r>
      <w:r>
        <w:rPr>
          <w:rFonts w:ascii="Garamond" w:hAnsi="Garamond"/>
          <w:sz w:val="24"/>
          <w:szCs w:val="24"/>
        </w:rPr>
        <w:t xml:space="preserve">C’est à cette première catégorie –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parlé dans la région de </w:t>
      </w:r>
      <w:r>
        <w:rPr>
          <w:rFonts w:ascii="Garamond" w:hAnsi="Garamond"/>
          <w:bCs/>
          <w:sz w:val="24"/>
          <w:szCs w:val="24"/>
        </w:rPr>
        <w:t>Nikki–N’dali–Parakou –</w:t>
      </w:r>
      <w:r>
        <w:rPr>
          <w:rFonts w:ascii="Garamond" w:hAnsi="Garamond"/>
          <w:sz w:val="24"/>
          <w:szCs w:val="24"/>
        </w:rPr>
        <w:t xml:space="preserve"> que s’intéresse cette étude parce que c’est </w:t>
      </w:r>
      <w:r>
        <w:rPr>
          <w:rFonts w:ascii="Garamond" w:hAnsi="Garamond" w:eastAsia="Times New Roman"/>
          <w:sz w:val="24"/>
          <w:szCs w:val="24"/>
          <w:lang w:eastAsia="fr-FR"/>
        </w:rPr>
        <w:t>la variante qui est considérée comme “centrale”</w:t>
      </w:r>
      <w:r>
        <w:rPr>
          <w:rFonts w:ascii="Garamond" w:hAnsi="Garamond"/>
          <w:sz w:val="24"/>
          <w:szCs w:val="24"/>
        </w:rPr>
        <w:t xml:space="preserve"> (Welmers 1952, </w:t>
      </w:r>
      <w:r>
        <w:rPr>
          <w:rFonts w:ascii="Garamond" w:hAnsi="Garamond" w:eastAsia="Times New Roman"/>
          <w:sz w:val="24"/>
          <w:szCs w:val="24"/>
          <w:lang w:eastAsia="fr-FR"/>
        </w:rPr>
        <w:t>Grossenbacher, 1974)</w:t>
      </w:r>
    </w:p>
    <w:p>
      <w:pPr>
        <w:tabs>
          <w:tab w:val="left" w:pos="270"/>
        </w:tabs>
        <w:spacing w:after="0" w:line="480" w:lineRule="auto"/>
        <w:jc w:val="both"/>
        <w:rPr>
          <w:rFonts w:ascii="Garamond" w:hAnsi="Garamond"/>
          <w:b/>
          <w:sz w:val="24"/>
          <w:szCs w:val="24"/>
        </w:rPr>
      </w:pPr>
    </w:p>
    <w:p>
      <w:pPr>
        <w:tabs>
          <w:tab w:val="left" w:pos="270"/>
        </w:tabs>
        <w:spacing w:after="0" w:line="480" w:lineRule="auto"/>
        <w:jc w:val="both"/>
        <w:rPr>
          <w:rFonts w:ascii="Garamond" w:hAnsi="Garamond"/>
          <w:b/>
          <w:sz w:val="24"/>
          <w:szCs w:val="24"/>
        </w:rPr>
      </w:pPr>
      <w:r>
        <w:rPr>
          <w:rFonts w:ascii="Garamond" w:hAnsi="Garamond"/>
          <w:b/>
          <w:sz w:val="24"/>
          <w:szCs w:val="24"/>
        </w:rPr>
        <w:t>Méthodologie de la recherche</w:t>
      </w:r>
    </w:p>
    <w:p>
      <w:pPr>
        <w:tabs>
          <w:tab w:val="left" w:pos="270"/>
        </w:tabs>
        <w:spacing w:after="0" w:line="480" w:lineRule="auto"/>
        <w:jc w:val="both"/>
        <w:rPr>
          <w:rFonts w:ascii="Garamond" w:hAnsi="Garamond"/>
          <w:sz w:val="24"/>
          <w:szCs w:val="24"/>
        </w:rPr>
      </w:pPr>
      <w:r>
        <w:rPr>
          <w:rFonts w:ascii="Garamond" w:hAnsi="Garamond"/>
          <w:sz w:val="24"/>
          <w:szCs w:val="24"/>
        </w:rPr>
        <w:t xml:space="preserve"> Le corpus de cette recherche reflète autant que possible les habitudes langagières des </w:t>
      </w:r>
      <w:r>
        <w:rPr>
          <w:rFonts w:ascii="Garamond" w:hAnsi="Garamond"/>
          <w:i/>
          <w:sz w:val="24"/>
          <w:szCs w:val="24"/>
        </w:rPr>
        <w:t>Baatombu</w:t>
      </w:r>
      <w:r>
        <w:rPr>
          <w:rFonts w:ascii="Garamond" w:hAnsi="Garamond"/>
          <w:sz w:val="24"/>
          <w:szCs w:val="24"/>
        </w:rPr>
        <w:t xml:space="preserve"> en général, et non celles d’un individu en particulier. Il s’agit non pas de décrire les faits linguistiques étudiés à partir de l’idiolecte d’un individu mais d’essayer de rendre compte des emprunts du français attestés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 xml:space="preserve">num, </w:t>
      </w:r>
      <w:r>
        <w:rPr>
          <w:rFonts w:ascii="Garamond" w:hAnsi="Garamond"/>
          <w:sz w:val="24"/>
          <w:szCs w:val="24"/>
        </w:rPr>
        <w:t xml:space="preserve">ce qui peut permettre de justifier l’étude. Notre corpus comprend près de cinq cents emprunts au français qui sont recensés auprès de la communauté </w:t>
      </w:r>
      <w:r>
        <w:rPr>
          <w:rFonts w:ascii="Garamond" w:hAnsi="Garamond"/>
          <w:i/>
          <w:sz w:val="24"/>
          <w:szCs w:val="24"/>
        </w:rPr>
        <w:t>baat</w:t>
      </w:r>
      <w:r>
        <w:rPr>
          <w:rFonts w:ascii="Garamond" w:hAnsi="Times New Roman"/>
          <w:i/>
          <w:sz w:val="24"/>
          <w:szCs w:val="24"/>
        </w:rPr>
        <w:t>ɔ</w:t>
      </w:r>
      <w:r>
        <w:rPr>
          <w:rFonts w:ascii="Garamond" w:hAnsi="Garamond"/>
          <w:i/>
          <w:sz w:val="24"/>
          <w:szCs w:val="24"/>
        </w:rPr>
        <w:t>mbu</w:t>
      </w:r>
      <w:r>
        <w:rPr>
          <w:rFonts w:ascii="Garamond" w:hAnsi="Garamond"/>
          <w:sz w:val="24"/>
          <w:szCs w:val="24"/>
        </w:rPr>
        <w:t xml:space="preserve"> du Bénin et du Nigéria. Nous sommes d’avis que ces emprunts ont un certain rôle à jouer dans l’étude de l’enrichissement lexical de cette langue africaine. Cela se justifie par le fait que, la plupart de ces emprunts sont des emprunts de nécessité qui ne possèdent pas d’équivalents dans la langue cible. </w:t>
      </w:r>
    </w:p>
    <w:p>
      <w:pPr>
        <w:tabs>
          <w:tab w:val="left" w:pos="270"/>
        </w:tabs>
        <w:spacing w:after="0" w:line="480" w:lineRule="auto"/>
        <w:jc w:val="both"/>
        <w:rPr>
          <w:rFonts w:ascii="Garamond" w:hAnsi="Garamond"/>
          <w:b/>
          <w:sz w:val="24"/>
          <w:szCs w:val="24"/>
        </w:rPr>
      </w:pPr>
      <w:r>
        <w:rPr>
          <w:rFonts w:ascii="Garamond" w:hAnsi="Garamond"/>
          <w:sz w:val="24"/>
          <w:szCs w:val="24"/>
        </w:rPr>
        <w:t xml:space="preserve">Une approche historico-descriptive est adoptée, c’est-à-dire une approche de l’étude d’une langue à travers son évolution. Nous nous intéressons aux identifications et aux descriptions linguistiques des emprunts français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tels que nous les avons recueillis entre janvier 2017 et décembre 2019. Les unités de base reconnues comme emprunts dans cette étude sont des mots/lexies.</w:t>
      </w:r>
    </w:p>
    <w:p>
      <w:pPr>
        <w:tabs>
          <w:tab w:val="left" w:pos="270"/>
        </w:tabs>
        <w:spacing w:after="0" w:line="360" w:lineRule="auto"/>
        <w:jc w:val="both"/>
        <w:rPr>
          <w:rFonts w:ascii="Garamond" w:hAnsi="Garamond"/>
          <w:b/>
          <w:sz w:val="24"/>
          <w:szCs w:val="24"/>
        </w:rPr>
      </w:pPr>
    </w:p>
    <w:p>
      <w:pPr>
        <w:tabs>
          <w:tab w:val="left" w:pos="270"/>
        </w:tabs>
        <w:spacing w:after="0" w:line="360" w:lineRule="auto"/>
        <w:jc w:val="both"/>
        <w:rPr>
          <w:rFonts w:ascii="Garamond" w:hAnsi="Garamond"/>
          <w:b/>
          <w:sz w:val="24"/>
          <w:szCs w:val="24"/>
        </w:rPr>
      </w:pPr>
      <w:r>
        <w:rPr>
          <w:rFonts w:ascii="Garamond" w:hAnsi="Garamond"/>
          <w:b/>
          <w:sz w:val="24"/>
          <w:szCs w:val="24"/>
        </w:rPr>
        <w:t>Faits d’adaptation phonétique constatés</w:t>
      </w:r>
    </w:p>
    <w:p>
      <w:pPr>
        <w:tabs>
          <w:tab w:val="left" w:pos="270"/>
        </w:tabs>
        <w:spacing w:after="0" w:line="480" w:lineRule="auto"/>
        <w:jc w:val="both"/>
        <w:rPr>
          <w:rFonts w:ascii="Garamond" w:hAnsi="Garamond"/>
          <w:i/>
          <w:sz w:val="24"/>
          <w:szCs w:val="24"/>
        </w:rPr>
      </w:pPr>
      <w:r>
        <w:rPr>
          <w:rFonts w:ascii="Garamond" w:hAnsi="Garamond"/>
          <w:sz w:val="24"/>
          <w:szCs w:val="24"/>
        </w:rPr>
        <w:t>Par adaptation phonétique, nous entendons les différentes modifications que subit la prononciation d’un emprunt pour se conformer à la langue d’accueil. Osunniran et Ibrahim (2016) expliquent que l’écart entre le système phonétique de la langue source et de la langue d’arrivée est grand. En cas de grand écart, ces formes d’adaptation peuvent rendre le mot emprunté méconnaissable. Deroy (1956 : 237) relève, à cet effet, qu’: « </w:t>
      </w:r>
      <w:r>
        <w:rPr>
          <w:rFonts w:ascii="Garamond" w:hAnsi="Garamond"/>
          <w:i/>
          <w:sz w:val="24"/>
          <w:szCs w:val="24"/>
        </w:rPr>
        <w:t xml:space="preserve">(…) </w:t>
      </w:r>
      <w:r>
        <w:rPr>
          <w:rFonts w:ascii="Garamond" w:hAnsi="Garamond"/>
          <w:iCs/>
          <w:sz w:val="24"/>
          <w:szCs w:val="24"/>
        </w:rPr>
        <w:t>il y a quatre façons d’adapter la prononciation d’un mot étranger : négliger les phonèmes inconnus ou imprononçables, leur substituer des phonèmes usuels, introduire des phonèmes nouveaux pour donner au mot un air familier, déplacer le ton conformément aux règles de la langue emprunteuse</w:t>
      </w:r>
      <w:r>
        <w:rPr>
          <w:rFonts w:ascii="Garamond" w:hAnsi="Garamond"/>
          <w:i/>
          <w:sz w:val="24"/>
          <w:szCs w:val="24"/>
        </w:rPr>
        <w:t xml:space="preserve"> ». </w:t>
      </w:r>
    </w:p>
    <w:p>
      <w:pPr>
        <w:tabs>
          <w:tab w:val="left" w:pos="270"/>
        </w:tabs>
        <w:spacing w:after="0" w:line="360" w:lineRule="auto"/>
        <w:jc w:val="both"/>
        <w:rPr>
          <w:rFonts w:ascii="Garamond" w:hAnsi="Garamond"/>
          <w:b/>
          <w:sz w:val="24"/>
          <w:szCs w:val="24"/>
        </w:rPr>
      </w:pPr>
    </w:p>
    <w:p>
      <w:pPr>
        <w:tabs>
          <w:tab w:val="left" w:pos="270"/>
        </w:tabs>
        <w:spacing w:after="0" w:line="480" w:lineRule="auto"/>
        <w:jc w:val="both"/>
        <w:rPr>
          <w:rFonts w:ascii="Garamond" w:hAnsi="Garamond"/>
          <w:sz w:val="24"/>
          <w:szCs w:val="24"/>
        </w:rPr>
      </w:pPr>
      <w:r>
        <w:rPr>
          <w:rFonts w:ascii="Garamond" w:hAnsi="Garamond"/>
          <w:sz w:val="24"/>
          <w:szCs w:val="24"/>
        </w:rPr>
        <w:t xml:space="preserve">L’étude des adaptations phonétiques des emprunts français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suppose au préalable la comparaison de leurs systèmes phonétiques : (a) les systèmes consonantiques et (b) les systèmes vocaliques.</w:t>
      </w:r>
    </w:p>
    <w:p>
      <w:pPr>
        <w:numPr>
          <w:ilvl w:val="0"/>
          <w:numId w:val="2"/>
        </w:numPr>
        <w:tabs>
          <w:tab w:val="left" w:pos="270"/>
        </w:tabs>
        <w:spacing w:after="0" w:line="480" w:lineRule="auto"/>
        <w:jc w:val="both"/>
        <w:rPr>
          <w:rFonts w:ascii="Garamond" w:hAnsi="Garamond"/>
          <w:b/>
          <w:sz w:val="24"/>
          <w:szCs w:val="24"/>
        </w:rPr>
      </w:pPr>
      <w:r>
        <w:rPr>
          <w:rFonts w:ascii="Garamond" w:hAnsi="Garamond"/>
          <w:b/>
          <w:sz w:val="24"/>
          <w:szCs w:val="24"/>
        </w:rPr>
        <w:t>Les systèmes consonantiques</w:t>
      </w:r>
    </w:p>
    <w:p>
      <w:pPr>
        <w:tabs>
          <w:tab w:val="left" w:pos="270"/>
        </w:tabs>
        <w:spacing w:line="480" w:lineRule="auto"/>
        <w:jc w:val="both"/>
        <w:rPr>
          <w:rFonts w:ascii="Garamond" w:hAnsi="Garamond"/>
          <w:sz w:val="24"/>
          <w:szCs w:val="24"/>
        </w:rPr>
      </w:pPr>
      <w:r>
        <w:rPr>
          <w:rFonts w:ascii="Garamond" w:hAnsi="Garamond"/>
          <w:sz w:val="24"/>
          <w:szCs w:val="24"/>
        </w:rPr>
        <w:t>Selon Westermann et Ward (1957 :46) cité par Garba (2012 :220), « une consonne est un son dont la prononciation provoque le blocage entier du passage de l’air jusqu’à un certain degré où il provoque une friction audible ». Ainsi, une consonne est une sorte de bruit qui est produit avec friction ou obstruction au passage d’air. Le classement des consonnes se fait selon l’état du passage de l’air et les types d’organes humains qui les articulent (Garba, 2012 :220). Le Boulch (1966 :99) présente le système consonantique français dans le tableau ci-dessous où les lieux d’articulation sont indiqués en haut et les manières d’articulation à gauche.</w:t>
      </w:r>
    </w:p>
    <w:p>
      <w:pPr>
        <w:tabs>
          <w:tab w:val="left" w:pos="270"/>
        </w:tabs>
        <w:spacing w:after="0" w:line="480" w:lineRule="auto"/>
        <w:jc w:val="both"/>
        <w:rPr>
          <w:rFonts w:ascii="Garamond" w:hAnsi="Garamond"/>
          <w:b/>
          <w:sz w:val="24"/>
          <w:szCs w:val="24"/>
        </w:rPr>
      </w:pPr>
      <w:r>
        <w:rPr>
          <w:rFonts w:ascii="Garamond" w:hAnsi="Garamond"/>
          <w:b/>
          <w:sz w:val="24"/>
          <w:szCs w:val="24"/>
        </w:rPr>
        <w:t>Tableau 1 : Phonèmes consonantiques du français selon Boulch (1966)</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3"/>
        <w:gridCol w:w="965"/>
        <w:gridCol w:w="773"/>
        <w:gridCol w:w="815"/>
        <w:gridCol w:w="972"/>
        <w:gridCol w:w="809"/>
        <w:gridCol w:w="809"/>
        <w:gridCol w:w="809"/>
        <w:gridCol w:w="751"/>
        <w:gridCol w:w="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Lieu d’articulation</w:t>
            </w:r>
          </w:p>
        </w:tc>
        <w:tc>
          <w:tcPr>
            <w:tcW w:w="913"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Bilabiales</w:t>
            </w:r>
          </w:p>
        </w:tc>
        <w:tc>
          <w:tcPr>
            <w:tcW w:w="735"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Labio-dentale</w:t>
            </w:r>
          </w:p>
        </w:tc>
        <w:tc>
          <w:tcPr>
            <w:tcW w:w="689"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Dentale</w:t>
            </w:r>
          </w:p>
        </w:tc>
        <w:tc>
          <w:tcPr>
            <w:tcW w:w="948" w:type="dxa"/>
          </w:tcPr>
          <w:p>
            <w:pPr>
              <w:tabs>
                <w:tab w:val="left" w:pos="270"/>
              </w:tabs>
              <w:spacing w:after="0" w:line="360" w:lineRule="auto"/>
              <w:rPr>
                <w:rFonts w:ascii="Garamond" w:hAnsi="Garamond"/>
                <w:b/>
                <w:sz w:val="18"/>
                <w:szCs w:val="18"/>
              </w:rPr>
            </w:pPr>
            <w:r>
              <w:rPr>
                <w:rFonts w:ascii="Garamond" w:hAnsi="Garamond"/>
                <w:b/>
                <w:sz w:val="18"/>
                <w:szCs w:val="18"/>
              </w:rPr>
              <w:t>Alvéolaire</w:t>
            </w:r>
          </w:p>
        </w:tc>
        <w:tc>
          <w:tcPr>
            <w:tcW w:w="782"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Pre-palatale</w:t>
            </w:r>
          </w:p>
        </w:tc>
        <w:tc>
          <w:tcPr>
            <w:tcW w:w="782" w:type="dxa"/>
          </w:tcPr>
          <w:p>
            <w:pPr>
              <w:tabs>
                <w:tab w:val="left" w:pos="270"/>
              </w:tabs>
              <w:spacing w:after="0" w:line="360" w:lineRule="auto"/>
              <w:rPr>
                <w:rFonts w:ascii="Garamond" w:hAnsi="Garamond"/>
                <w:b/>
                <w:sz w:val="18"/>
                <w:szCs w:val="18"/>
              </w:rPr>
            </w:pPr>
            <w:r>
              <w:rPr>
                <w:rFonts w:ascii="Garamond" w:hAnsi="Garamond"/>
                <w:b/>
                <w:sz w:val="18"/>
                <w:szCs w:val="18"/>
              </w:rPr>
              <w:t>Medio-palatale</w:t>
            </w:r>
          </w:p>
        </w:tc>
        <w:tc>
          <w:tcPr>
            <w:tcW w:w="782" w:type="dxa"/>
          </w:tcPr>
          <w:p>
            <w:pPr>
              <w:tabs>
                <w:tab w:val="left" w:pos="270"/>
              </w:tabs>
              <w:spacing w:after="0" w:line="360" w:lineRule="auto"/>
              <w:rPr>
                <w:rFonts w:ascii="Garamond" w:hAnsi="Garamond"/>
                <w:b/>
                <w:sz w:val="18"/>
                <w:szCs w:val="18"/>
              </w:rPr>
            </w:pPr>
            <w:r>
              <w:rPr>
                <w:rFonts w:ascii="Garamond" w:hAnsi="Garamond"/>
                <w:b/>
                <w:sz w:val="18"/>
                <w:szCs w:val="18"/>
              </w:rPr>
              <w:t>palatale</w:t>
            </w:r>
          </w:p>
        </w:tc>
        <w:tc>
          <w:tcPr>
            <w:tcW w:w="735"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Vélaire</w:t>
            </w:r>
          </w:p>
        </w:tc>
        <w:tc>
          <w:tcPr>
            <w:tcW w:w="93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Unvulaire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Modes d’articulation</w:t>
            </w:r>
          </w:p>
        </w:tc>
        <w:tc>
          <w:tcPr>
            <w:tcW w:w="913" w:type="dxa"/>
            <w:shd w:val="clear" w:color="auto" w:fill="auto"/>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689" w:type="dxa"/>
            <w:shd w:val="clear" w:color="auto" w:fill="auto"/>
          </w:tcPr>
          <w:p>
            <w:pPr>
              <w:tabs>
                <w:tab w:val="left" w:pos="270"/>
              </w:tabs>
              <w:spacing w:after="0" w:line="360" w:lineRule="auto"/>
              <w:rPr>
                <w:rFonts w:ascii="Garamond" w:hAnsi="Garamond"/>
                <w:b/>
                <w:sz w:val="24"/>
                <w:szCs w:val="24"/>
              </w:rPr>
            </w:pPr>
          </w:p>
        </w:tc>
        <w:tc>
          <w:tcPr>
            <w:tcW w:w="948" w:type="dxa"/>
          </w:tcPr>
          <w:p>
            <w:pPr>
              <w:tabs>
                <w:tab w:val="left" w:pos="270"/>
              </w:tabs>
              <w:spacing w:after="0" w:line="360" w:lineRule="auto"/>
              <w:rPr>
                <w:rFonts w:ascii="Garamond" w:hAnsi="Garamond"/>
                <w:b/>
                <w:sz w:val="24"/>
                <w:szCs w:val="24"/>
              </w:rPr>
            </w:pPr>
          </w:p>
        </w:tc>
        <w:tc>
          <w:tcPr>
            <w:tcW w:w="782" w:type="dxa"/>
            <w:shd w:val="clear" w:color="auto" w:fill="auto"/>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930" w:type="dxa"/>
            <w:shd w:val="clear" w:color="auto" w:fill="auto"/>
          </w:tcPr>
          <w:p>
            <w:pPr>
              <w:tabs>
                <w:tab w:val="left" w:pos="270"/>
              </w:tabs>
              <w:spacing w:after="0" w:line="360" w:lineRule="auto"/>
              <w:rPr>
                <w:rFonts w:ascii="Garamond" w:hAnsi="Garamond"/>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Occlusive</w:t>
            </w:r>
          </w:p>
        </w:tc>
        <w:tc>
          <w:tcPr>
            <w:tcW w:w="913"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p</w:t>
            </w:r>
          </w:p>
          <w:p>
            <w:pPr>
              <w:tabs>
                <w:tab w:val="left" w:pos="270"/>
              </w:tabs>
              <w:spacing w:after="0" w:line="360" w:lineRule="auto"/>
              <w:rPr>
                <w:rFonts w:ascii="Garamond" w:hAnsi="Garamond"/>
                <w:sz w:val="24"/>
                <w:szCs w:val="24"/>
              </w:rPr>
            </w:pPr>
            <w:r>
              <w:rPr>
                <w:rFonts w:ascii="Garamond" w:hAnsi="Garamond"/>
                <w:sz w:val="24"/>
                <w:szCs w:val="24"/>
              </w:rPr>
              <w:t>b</w:t>
            </w:r>
          </w:p>
        </w:tc>
        <w:tc>
          <w:tcPr>
            <w:tcW w:w="735"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t</w:t>
            </w:r>
          </w:p>
          <w:p>
            <w:pPr>
              <w:tabs>
                <w:tab w:val="left" w:pos="270"/>
              </w:tabs>
              <w:spacing w:after="0" w:line="360" w:lineRule="auto"/>
              <w:rPr>
                <w:rFonts w:ascii="Garamond" w:hAnsi="Garamond"/>
                <w:sz w:val="24"/>
                <w:szCs w:val="24"/>
              </w:rPr>
            </w:pPr>
            <w:r>
              <w:rPr>
                <w:rFonts w:ascii="Garamond" w:hAnsi="Garamond"/>
                <w:sz w:val="24"/>
                <w:szCs w:val="24"/>
              </w:rPr>
              <w:t>d</w:t>
            </w:r>
          </w:p>
        </w:tc>
        <w:tc>
          <w:tcPr>
            <w:tcW w:w="689"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 xml:space="preserve">          </w:t>
            </w:r>
          </w:p>
        </w:tc>
        <w:tc>
          <w:tcPr>
            <w:tcW w:w="948" w:type="dxa"/>
          </w:tcPr>
          <w:p>
            <w:pPr>
              <w:tabs>
                <w:tab w:val="left" w:pos="270"/>
              </w:tabs>
              <w:spacing w:after="0" w:line="360" w:lineRule="auto"/>
              <w:rPr>
                <w:rFonts w:ascii="Garamond" w:hAnsi="Garamond"/>
                <w:b/>
                <w:sz w:val="24"/>
                <w:szCs w:val="24"/>
              </w:rPr>
            </w:pPr>
          </w:p>
        </w:tc>
        <w:tc>
          <w:tcPr>
            <w:tcW w:w="782" w:type="dxa"/>
            <w:shd w:val="clear" w:color="auto" w:fill="auto"/>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sz w:val="24"/>
                <w:szCs w:val="24"/>
              </w:rPr>
            </w:pPr>
          </w:p>
        </w:tc>
        <w:tc>
          <w:tcPr>
            <w:tcW w:w="782" w:type="dxa"/>
          </w:tcPr>
          <w:p>
            <w:pPr>
              <w:tabs>
                <w:tab w:val="left" w:pos="270"/>
              </w:tabs>
              <w:spacing w:after="0" w:line="360" w:lineRule="auto"/>
              <w:rPr>
                <w:rFonts w:ascii="Garamond" w:hAnsi="Garamond"/>
                <w:sz w:val="24"/>
                <w:szCs w:val="24"/>
              </w:rPr>
            </w:pPr>
          </w:p>
        </w:tc>
        <w:tc>
          <w:tcPr>
            <w:tcW w:w="735"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K</w:t>
            </w:r>
          </w:p>
          <w:p>
            <w:pPr>
              <w:tabs>
                <w:tab w:val="left" w:pos="270"/>
              </w:tabs>
              <w:spacing w:after="0" w:line="360" w:lineRule="auto"/>
              <w:rPr>
                <w:rFonts w:ascii="Garamond" w:hAnsi="Garamond"/>
                <w:sz w:val="24"/>
                <w:szCs w:val="24"/>
              </w:rPr>
            </w:pPr>
            <w:r>
              <w:rPr>
                <w:rFonts w:ascii="Garamond" w:hAnsi="Garamond"/>
                <w:sz w:val="24"/>
                <w:szCs w:val="24"/>
              </w:rPr>
              <w:t>g</w:t>
            </w:r>
          </w:p>
        </w:tc>
        <w:tc>
          <w:tcPr>
            <w:tcW w:w="930" w:type="dxa"/>
            <w:shd w:val="clear" w:color="auto" w:fill="auto"/>
          </w:tcPr>
          <w:p>
            <w:pPr>
              <w:tabs>
                <w:tab w:val="left" w:pos="270"/>
              </w:tabs>
              <w:spacing w:after="0" w:line="360" w:lineRule="auto"/>
              <w:rPr>
                <w:rFonts w:ascii="Garamond" w:hAnsi="Garamond"/>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Fricative</w:t>
            </w:r>
          </w:p>
        </w:tc>
        <w:tc>
          <w:tcPr>
            <w:tcW w:w="913" w:type="dxa"/>
            <w:shd w:val="clear" w:color="auto" w:fill="auto"/>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f</w:t>
            </w:r>
          </w:p>
          <w:p>
            <w:pPr>
              <w:tabs>
                <w:tab w:val="left" w:pos="270"/>
              </w:tabs>
              <w:spacing w:after="0" w:line="360" w:lineRule="auto"/>
              <w:rPr>
                <w:rFonts w:ascii="Garamond" w:hAnsi="Garamond"/>
                <w:sz w:val="24"/>
                <w:szCs w:val="24"/>
              </w:rPr>
            </w:pPr>
            <w:r>
              <w:rPr>
                <w:rFonts w:ascii="Garamond" w:hAnsi="Garamond"/>
                <w:sz w:val="24"/>
                <w:szCs w:val="24"/>
              </w:rPr>
              <w:t>v</w:t>
            </w:r>
          </w:p>
        </w:tc>
        <w:tc>
          <w:tcPr>
            <w:tcW w:w="689"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s</w:t>
            </w:r>
          </w:p>
          <w:p>
            <w:pPr>
              <w:tabs>
                <w:tab w:val="left" w:pos="270"/>
              </w:tabs>
              <w:spacing w:after="0" w:line="360" w:lineRule="auto"/>
              <w:rPr>
                <w:rFonts w:ascii="Garamond" w:hAnsi="Garamond"/>
                <w:sz w:val="24"/>
                <w:szCs w:val="24"/>
              </w:rPr>
            </w:pPr>
            <w:r>
              <w:rPr>
                <w:rFonts w:ascii="Garamond" w:hAnsi="Garamond"/>
                <w:sz w:val="24"/>
                <w:szCs w:val="24"/>
              </w:rPr>
              <w:t>z</w:t>
            </w:r>
          </w:p>
        </w:tc>
        <w:tc>
          <w:tcPr>
            <w:tcW w:w="948" w:type="dxa"/>
          </w:tcPr>
          <w:p>
            <w:pPr>
              <w:tabs>
                <w:tab w:val="left" w:pos="270"/>
              </w:tabs>
              <w:spacing w:after="0" w:line="360" w:lineRule="auto"/>
              <w:rPr>
                <w:rFonts w:ascii="Garamond" w:hAnsi="Garamond"/>
                <w:sz w:val="24"/>
                <w:szCs w:val="24"/>
              </w:rPr>
            </w:pPr>
          </w:p>
        </w:tc>
        <w:tc>
          <w:tcPr>
            <w:tcW w:w="782" w:type="dxa"/>
            <w:shd w:val="clear" w:color="auto" w:fill="auto"/>
          </w:tcPr>
          <w:p>
            <w:pPr>
              <w:tabs>
                <w:tab w:val="left" w:pos="270"/>
              </w:tabs>
              <w:spacing w:after="0" w:line="360" w:lineRule="auto"/>
              <w:rPr>
                <w:rFonts w:ascii="Garamond" w:hAnsi="Garamond"/>
                <w:sz w:val="24"/>
                <w:szCs w:val="24"/>
              </w:rPr>
            </w:pPr>
            <w:r>
              <w:rPr>
                <w:rFonts w:ascii="Garamond" w:hAnsi="Times New Roman"/>
                <w:sz w:val="24"/>
                <w:szCs w:val="24"/>
              </w:rPr>
              <w:t>ʃ</w:t>
            </w:r>
          </w:p>
          <w:p>
            <w:pPr>
              <w:tabs>
                <w:tab w:val="left" w:pos="270"/>
              </w:tabs>
              <w:spacing w:after="0" w:line="360" w:lineRule="auto"/>
              <w:rPr>
                <w:rFonts w:ascii="Garamond" w:hAnsi="Garamond"/>
                <w:sz w:val="24"/>
                <w:szCs w:val="24"/>
              </w:rPr>
            </w:pPr>
            <w:r>
              <w:rPr>
                <w:rFonts w:ascii="Garamond" w:hAnsi="Times New Roman"/>
                <w:sz w:val="24"/>
                <w:szCs w:val="24"/>
              </w:rPr>
              <w:t>ʒ</w:t>
            </w: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930" w:type="dxa"/>
            <w:shd w:val="clear" w:color="auto" w:fill="auto"/>
          </w:tcPr>
          <w:p>
            <w:pPr>
              <w:tabs>
                <w:tab w:val="left" w:pos="270"/>
              </w:tabs>
              <w:spacing w:after="0" w:line="360" w:lineRule="auto"/>
              <w:rPr>
                <w:rFonts w:ascii="Garamond" w:hAnsi="Garamond"/>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Nasales</w:t>
            </w:r>
          </w:p>
        </w:tc>
        <w:tc>
          <w:tcPr>
            <w:tcW w:w="913" w:type="dxa"/>
            <w:shd w:val="clear" w:color="auto" w:fill="auto"/>
          </w:tcPr>
          <w:p>
            <w:pPr>
              <w:tabs>
                <w:tab w:val="left" w:pos="270"/>
              </w:tabs>
              <w:spacing w:after="0" w:line="360" w:lineRule="auto"/>
              <w:rPr>
                <w:rFonts w:ascii="Garamond" w:hAnsi="Garamond"/>
                <w:b/>
                <w:sz w:val="24"/>
                <w:szCs w:val="24"/>
              </w:rPr>
            </w:pPr>
            <w:r>
              <w:rPr>
                <w:rFonts w:ascii="Garamond" w:hAnsi="Garamond"/>
                <w:b/>
                <w:sz w:val="24"/>
                <w:szCs w:val="24"/>
              </w:rPr>
              <w:t>m</w:t>
            </w:r>
          </w:p>
        </w:tc>
        <w:tc>
          <w:tcPr>
            <w:tcW w:w="735" w:type="dxa"/>
            <w:shd w:val="clear" w:color="auto" w:fill="auto"/>
          </w:tcPr>
          <w:p>
            <w:pPr>
              <w:tabs>
                <w:tab w:val="left" w:pos="270"/>
              </w:tabs>
              <w:spacing w:after="0" w:line="360" w:lineRule="auto"/>
              <w:rPr>
                <w:rFonts w:ascii="Garamond" w:hAnsi="Garamond"/>
                <w:b/>
                <w:sz w:val="24"/>
                <w:szCs w:val="24"/>
              </w:rPr>
            </w:pPr>
          </w:p>
        </w:tc>
        <w:tc>
          <w:tcPr>
            <w:tcW w:w="689"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n</w:t>
            </w:r>
          </w:p>
        </w:tc>
        <w:tc>
          <w:tcPr>
            <w:tcW w:w="948" w:type="dxa"/>
          </w:tcPr>
          <w:p>
            <w:pPr>
              <w:tabs>
                <w:tab w:val="left" w:pos="270"/>
              </w:tabs>
              <w:spacing w:after="0" w:line="360" w:lineRule="auto"/>
              <w:rPr>
                <w:rFonts w:ascii="Garamond" w:hAnsi="Garamond"/>
                <w:b/>
                <w:sz w:val="24"/>
                <w:szCs w:val="24"/>
              </w:rPr>
            </w:pPr>
          </w:p>
        </w:tc>
        <w:tc>
          <w:tcPr>
            <w:tcW w:w="782" w:type="dxa"/>
            <w:shd w:val="clear" w:color="auto" w:fill="auto"/>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930" w:type="dxa"/>
            <w:shd w:val="clear" w:color="auto" w:fill="auto"/>
          </w:tcPr>
          <w:p>
            <w:pPr>
              <w:tabs>
                <w:tab w:val="left" w:pos="270"/>
              </w:tabs>
              <w:spacing w:after="0" w:line="360" w:lineRule="auto"/>
              <w:rPr>
                <w:rFonts w:ascii="Garamond" w:hAnsi="Garamond"/>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 xml:space="preserve">Latérale </w:t>
            </w:r>
          </w:p>
        </w:tc>
        <w:tc>
          <w:tcPr>
            <w:tcW w:w="913" w:type="dxa"/>
            <w:shd w:val="clear" w:color="auto" w:fill="auto"/>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689" w:type="dxa"/>
            <w:shd w:val="clear" w:color="auto" w:fill="auto"/>
          </w:tcPr>
          <w:p>
            <w:pPr>
              <w:tabs>
                <w:tab w:val="left" w:pos="270"/>
              </w:tabs>
              <w:spacing w:after="0" w:line="360" w:lineRule="auto"/>
              <w:rPr>
                <w:rFonts w:ascii="Garamond" w:hAnsi="Garamond"/>
                <w:sz w:val="24"/>
                <w:szCs w:val="24"/>
              </w:rPr>
            </w:pPr>
          </w:p>
        </w:tc>
        <w:tc>
          <w:tcPr>
            <w:tcW w:w="948" w:type="dxa"/>
          </w:tcPr>
          <w:p>
            <w:pPr>
              <w:tabs>
                <w:tab w:val="left" w:pos="270"/>
              </w:tabs>
              <w:spacing w:after="0" w:line="360" w:lineRule="auto"/>
              <w:rPr>
                <w:rFonts w:ascii="Garamond" w:hAnsi="Garamond"/>
                <w:b/>
                <w:sz w:val="24"/>
                <w:szCs w:val="24"/>
              </w:rPr>
            </w:pPr>
            <w:r>
              <w:rPr>
                <w:rFonts w:ascii="Garamond" w:hAnsi="Garamond"/>
                <w:b/>
                <w:sz w:val="24"/>
                <w:szCs w:val="24"/>
              </w:rPr>
              <w:t>l</w:t>
            </w:r>
          </w:p>
        </w:tc>
        <w:tc>
          <w:tcPr>
            <w:tcW w:w="782" w:type="dxa"/>
            <w:shd w:val="clear" w:color="auto" w:fill="auto"/>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930" w:type="dxa"/>
            <w:shd w:val="clear" w:color="auto" w:fill="auto"/>
          </w:tcPr>
          <w:p>
            <w:pPr>
              <w:tabs>
                <w:tab w:val="left" w:pos="270"/>
              </w:tabs>
              <w:spacing w:after="0" w:line="360" w:lineRule="auto"/>
              <w:rPr>
                <w:rFonts w:ascii="Garamond" w:hAnsi="Garamond"/>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Vibrantes et spirantes</w:t>
            </w:r>
          </w:p>
        </w:tc>
        <w:tc>
          <w:tcPr>
            <w:tcW w:w="913" w:type="dxa"/>
            <w:shd w:val="clear" w:color="auto" w:fill="auto"/>
          </w:tcPr>
          <w:p>
            <w:pPr>
              <w:tabs>
                <w:tab w:val="left" w:pos="270"/>
              </w:tabs>
              <w:spacing w:after="0" w:line="360" w:lineRule="auto"/>
              <w:rPr>
                <w:rFonts w:ascii="Garamond" w:hAnsi="Garamond"/>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689" w:type="dxa"/>
            <w:shd w:val="clear" w:color="auto" w:fill="auto"/>
          </w:tcPr>
          <w:p>
            <w:pPr>
              <w:tabs>
                <w:tab w:val="left" w:pos="270"/>
              </w:tabs>
              <w:spacing w:after="0" w:line="360" w:lineRule="auto"/>
              <w:rPr>
                <w:rFonts w:ascii="Garamond" w:hAnsi="Garamond"/>
                <w:sz w:val="24"/>
                <w:szCs w:val="24"/>
              </w:rPr>
            </w:pPr>
            <w:r>
              <w:rPr>
                <w:rFonts w:ascii="Garamond" w:hAnsi="Garamond"/>
                <w:sz w:val="24"/>
                <w:szCs w:val="24"/>
              </w:rPr>
              <w:t xml:space="preserve">      </w:t>
            </w:r>
          </w:p>
        </w:tc>
        <w:tc>
          <w:tcPr>
            <w:tcW w:w="948" w:type="dxa"/>
          </w:tcPr>
          <w:p>
            <w:pPr>
              <w:tabs>
                <w:tab w:val="left" w:pos="270"/>
              </w:tabs>
              <w:spacing w:after="0" w:line="360" w:lineRule="auto"/>
              <w:rPr>
                <w:rFonts w:ascii="Garamond" w:hAnsi="Garamond"/>
                <w:sz w:val="24"/>
                <w:szCs w:val="24"/>
              </w:rPr>
            </w:pPr>
          </w:p>
        </w:tc>
        <w:tc>
          <w:tcPr>
            <w:tcW w:w="782" w:type="dxa"/>
            <w:shd w:val="clear" w:color="auto" w:fill="auto"/>
          </w:tcPr>
          <w:p>
            <w:pPr>
              <w:tabs>
                <w:tab w:val="left" w:pos="270"/>
              </w:tabs>
              <w:spacing w:after="0" w:line="360" w:lineRule="auto"/>
              <w:rPr>
                <w:rFonts w:ascii="Garamond" w:hAnsi="Garamond"/>
                <w:b/>
                <w:sz w:val="24"/>
                <w:szCs w:val="24"/>
              </w:rPr>
            </w:pPr>
            <w:r>
              <w:rPr>
                <w:rFonts w:ascii="Garamond" w:hAnsi="Garamond"/>
                <w:b/>
                <w:sz w:val="24"/>
                <w:szCs w:val="24"/>
              </w:rPr>
              <w:t xml:space="preserve"> </w:t>
            </w: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930" w:type="dxa"/>
            <w:shd w:val="clear" w:color="auto" w:fill="auto"/>
          </w:tcPr>
          <w:p>
            <w:pPr>
              <w:tabs>
                <w:tab w:val="left" w:pos="270"/>
              </w:tabs>
              <w:spacing w:after="0" w:line="360" w:lineRule="auto"/>
              <w:rPr>
                <w:rFonts w:ascii="Garamond" w:hAnsi="Garamond"/>
                <w:b/>
                <w:sz w:val="24"/>
                <w:szCs w:val="24"/>
              </w:rPr>
            </w:pPr>
            <w:r>
              <w:rPr>
                <w:rFonts w:ascii="Garamond" w:hAnsi="Garamond"/>
                <w:b/>
                <w:sz w:val="24"/>
                <w:szCs w:val="24"/>
              </w:rPr>
              <w:t>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00" w:type="dxa"/>
            <w:shd w:val="clear" w:color="auto" w:fill="auto"/>
          </w:tcPr>
          <w:p>
            <w:pPr>
              <w:tabs>
                <w:tab w:val="left" w:pos="270"/>
              </w:tabs>
              <w:spacing w:after="0" w:line="360" w:lineRule="auto"/>
              <w:rPr>
                <w:rFonts w:ascii="Garamond" w:hAnsi="Garamond"/>
                <w:b/>
                <w:sz w:val="18"/>
                <w:szCs w:val="18"/>
              </w:rPr>
            </w:pPr>
            <w:r>
              <w:rPr>
                <w:rFonts w:ascii="Garamond" w:hAnsi="Garamond"/>
                <w:b/>
                <w:sz w:val="18"/>
                <w:szCs w:val="18"/>
              </w:rPr>
              <w:t>Semi consonnes</w:t>
            </w:r>
          </w:p>
        </w:tc>
        <w:tc>
          <w:tcPr>
            <w:tcW w:w="913" w:type="dxa"/>
            <w:shd w:val="clear" w:color="auto" w:fill="auto"/>
          </w:tcPr>
          <w:p>
            <w:pPr>
              <w:tabs>
                <w:tab w:val="left" w:pos="270"/>
              </w:tabs>
              <w:spacing w:after="0" w:line="360" w:lineRule="auto"/>
              <w:rPr>
                <w:rFonts w:ascii="Garamond" w:hAnsi="Garamond"/>
                <w:b/>
                <w:sz w:val="24"/>
                <w:szCs w:val="24"/>
              </w:rPr>
            </w:pPr>
          </w:p>
        </w:tc>
        <w:tc>
          <w:tcPr>
            <w:tcW w:w="735" w:type="dxa"/>
            <w:shd w:val="clear" w:color="auto" w:fill="auto"/>
          </w:tcPr>
          <w:p>
            <w:pPr>
              <w:tabs>
                <w:tab w:val="left" w:pos="270"/>
              </w:tabs>
              <w:spacing w:after="0" w:line="360" w:lineRule="auto"/>
              <w:rPr>
                <w:rFonts w:ascii="Garamond" w:hAnsi="Garamond"/>
                <w:b/>
                <w:sz w:val="24"/>
                <w:szCs w:val="24"/>
              </w:rPr>
            </w:pPr>
          </w:p>
        </w:tc>
        <w:tc>
          <w:tcPr>
            <w:tcW w:w="689" w:type="dxa"/>
            <w:shd w:val="clear" w:color="auto" w:fill="auto"/>
          </w:tcPr>
          <w:p>
            <w:pPr>
              <w:tabs>
                <w:tab w:val="left" w:pos="270"/>
              </w:tabs>
              <w:spacing w:after="0" w:line="360" w:lineRule="auto"/>
              <w:rPr>
                <w:rFonts w:ascii="Garamond" w:hAnsi="Garamond"/>
                <w:b/>
                <w:sz w:val="24"/>
                <w:szCs w:val="24"/>
              </w:rPr>
            </w:pPr>
          </w:p>
        </w:tc>
        <w:tc>
          <w:tcPr>
            <w:tcW w:w="948" w:type="dxa"/>
          </w:tcPr>
          <w:p>
            <w:pPr>
              <w:tabs>
                <w:tab w:val="left" w:pos="270"/>
              </w:tabs>
              <w:spacing w:after="0" w:line="360" w:lineRule="auto"/>
              <w:rPr>
                <w:rFonts w:ascii="Garamond" w:hAnsi="Garamond"/>
                <w:b/>
                <w:sz w:val="24"/>
                <w:szCs w:val="24"/>
              </w:rPr>
            </w:pPr>
          </w:p>
        </w:tc>
        <w:tc>
          <w:tcPr>
            <w:tcW w:w="782" w:type="dxa"/>
            <w:shd w:val="clear" w:color="auto" w:fill="auto"/>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p>
        </w:tc>
        <w:tc>
          <w:tcPr>
            <w:tcW w:w="782" w:type="dxa"/>
          </w:tcPr>
          <w:p>
            <w:pPr>
              <w:tabs>
                <w:tab w:val="left" w:pos="270"/>
              </w:tabs>
              <w:spacing w:after="0" w:line="360" w:lineRule="auto"/>
              <w:rPr>
                <w:rFonts w:ascii="Garamond" w:hAnsi="Garamond"/>
                <w:b/>
                <w:sz w:val="24"/>
                <w:szCs w:val="24"/>
              </w:rPr>
            </w:pPr>
            <w:r>
              <w:rPr>
                <w:rFonts w:ascii="Garamond" w:hAnsi="Garamond"/>
                <w:b/>
                <w:sz w:val="24"/>
                <w:szCs w:val="24"/>
              </w:rPr>
              <w:t>j</w:t>
            </w:r>
          </w:p>
        </w:tc>
        <w:tc>
          <w:tcPr>
            <w:tcW w:w="735" w:type="dxa"/>
            <w:shd w:val="clear" w:color="auto" w:fill="auto"/>
          </w:tcPr>
          <w:p>
            <w:pPr>
              <w:tabs>
                <w:tab w:val="left" w:pos="270"/>
              </w:tabs>
              <w:spacing w:after="0" w:line="360" w:lineRule="auto"/>
              <w:rPr>
                <w:rFonts w:ascii="Garamond" w:hAnsi="Garamond"/>
                <w:b/>
                <w:sz w:val="24"/>
                <w:szCs w:val="24"/>
              </w:rPr>
            </w:pPr>
            <w:r>
              <w:rPr>
                <w:rFonts w:ascii="Garamond" w:hAnsi="Garamond"/>
                <w:b/>
                <w:sz w:val="24"/>
                <w:szCs w:val="24"/>
              </w:rPr>
              <w:t>w</w:t>
            </w:r>
          </w:p>
        </w:tc>
        <w:tc>
          <w:tcPr>
            <w:tcW w:w="930" w:type="dxa"/>
            <w:shd w:val="clear" w:color="auto" w:fill="auto"/>
          </w:tcPr>
          <w:p>
            <w:pPr>
              <w:tabs>
                <w:tab w:val="left" w:pos="270"/>
              </w:tabs>
              <w:spacing w:after="0" w:line="360" w:lineRule="auto"/>
              <w:rPr>
                <w:rFonts w:ascii="Garamond" w:hAnsi="Garamond"/>
                <w:b/>
                <w:sz w:val="24"/>
                <w:szCs w:val="24"/>
              </w:rPr>
            </w:pPr>
          </w:p>
        </w:tc>
      </w:tr>
    </w:tbl>
    <w:p>
      <w:pPr>
        <w:tabs>
          <w:tab w:val="left" w:pos="270"/>
        </w:tabs>
        <w:spacing w:after="0" w:line="360" w:lineRule="auto"/>
        <w:jc w:val="both"/>
        <w:rPr>
          <w:rFonts w:ascii="Garamond" w:hAnsi="Garamond"/>
          <w:b/>
          <w:sz w:val="24"/>
          <w:szCs w:val="24"/>
        </w:rPr>
      </w:pPr>
      <w:r>
        <w:rPr>
          <w:rFonts w:ascii="Garamond" w:hAnsi="Garamond"/>
          <w:b/>
          <w:sz w:val="24"/>
          <w:szCs w:val="24"/>
        </w:rPr>
        <w:t>Extrait de Garba (2012 :220)</w:t>
      </w:r>
    </w:p>
    <w:p>
      <w:pPr>
        <w:tabs>
          <w:tab w:val="left" w:pos="270"/>
        </w:tabs>
        <w:spacing w:after="0" w:line="360" w:lineRule="auto"/>
        <w:jc w:val="both"/>
        <w:rPr>
          <w:rFonts w:ascii="Garamond" w:hAnsi="Garamond"/>
          <w:sz w:val="24"/>
          <w:szCs w:val="24"/>
        </w:rPr>
      </w:pPr>
    </w:p>
    <w:p>
      <w:pPr>
        <w:tabs>
          <w:tab w:val="left" w:pos="270"/>
        </w:tabs>
        <w:spacing w:after="0" w:line="360" w:lineRule="auto"/>
        <w:jc w:val="both"/>
        <w:rPr>
          <w:rFonts w:ascii="Garamond" w:hAnsi="Garamond"/>
          <w:sz w:val="24"/>
          <w:szCs w:val="24"/>
        </w:rPr>
      </w:pPr>
    </w:p>
    <w:p>
      <w:pPr>
        <w:tabs>
          <w:tab w:val="left" w:pos="270"/>
        </w:tabs>
        <w:spacing w:after="0" w:line="360" w:lineRule="auto"/>
        <w:jc w:val="both"/>
        <w:rPr>
          <w:rFonts w:ascii="Garamond" w:hAnsi="Garamond"/>
          <w:sz w:val="24"/>
          <w:szCs w:val="24"/>
        </w:rPr>
      </w:pPr>
      <w:r>
        <w:rPr>
          <w:rFonts w:ascii="Garamond" w:hAnsi="Garamond"/>
          <w:sz w:val="24"/>
          <w:szCs w:val="24"/>
        </w:rPr>
        <w:t xml:space="preserve">Dindi (1984) propose le tableau des sons consonantiques de la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comme suit :</w:t>
      </w:r>
    </w:p>
    <w:p>
      <w:pPr>
        <w:tabs>
          <w:tab w:val="left" w:pos="270"/>
        </w:tabs>
        <w:spacing w:after="0" w:line="360" w:lineRule="auto"/>
        <w:jc w:val="both"/>
        <w:rPr>
          <w:rFonts w:ascii="Garamond" w:hAnsi="Garamond"/>
          <w:b/>
          <w:sz w:val="24"/>
          <w:szCs w:val="24"/>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9"/>
        <w:gridCol w:w="1181"/>
        <w:gridCol w:w="1172"/>
        <w:gridCol w:w="1200"/>
        <w:gridCol w:w="1175"/>
        <w:gridCol w:w="1149"/>
        <w:gridCol w:w="1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0" w:type="dxa"/>
            <w:gridSpan w:val="2"/>
            <w:shd w:val="clear" w:color="auto" w:fill="auto"/>
          </w:tcPr>
          <w:p>
            <w:pPr>
              <w:tabs>
                <w:tab w:val="left" w:pos="270"/>
              </w:tabs>
              <w:spacing w:after="0" w:line="360" w:lineRule="auto"/>
              <w:jc w:val="both"/>
              <w:rPr>
                <w:rFonts w:ascii="Garamond" w:hAnsi="Garamond"/>
                <w:b/>
                <w:sz w:val="24"/>
                <w:szCs w:val="24"/>
              </w:rPr>
            </w:pPr>
          </w:p>
        </w:tc>
        <w:tc>
          <w:tcPr>
            <w:tcW w:w="1172"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bilabiale</w:t>
            </w:r>
          </w:p>
        </w:tc>
        <w:tc>
          <w:tcPr>
            <w:tcW w:w="1200"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avéolaire</w:t>
            </w:r>
          </w:p>
        </w:tc>
        <w:tc>
          <w:tcPr>
            <w:tcW w:w="1175"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palatale</w:t>
            </w:r>
          </w:p>
        </w:tc>
        <w:tc>
          <w:tcPr>
            <w:tcW w:w="1149"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vélaire</w:t>
            </w:r>
          </w:p>
        </w:tc>
        <w:tc>
          <w:tcPr>
            <w:tcW w:w="1150"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Labio-vélaire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9" w:type="dxa"/>
            <w:vMerge w:val="restart"/>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occlusive</w:t>
            </w:r>
          </w:p>
        </w:tc>
        <w:tc>
          <w:tcPr>
            <w:tcW w:w="1181"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sourde</w:t>
            </w:r>
          </w:p>
        </w:tc>
        <w:tc>
          <w:tcPr>
            <w:tcW w:w="1172"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p</w:t>
            </w:r>
          </w:p>
        </w:tc>
        <w:tc>
          <w:tcPr>
            <w:tcW w:w="120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t</w:t>
            </w:r>
          </w:p>
        </w:tc>
        <w:tc>
          <w:tcPr>
            <w:tcW w:w="1175" w:type="dxa"/>
            <w:shd w:val="clear" w:color="auto" w:fill="auto"/>
          </w:tcPr>
          <w:p>
            <w:pPr>
              <w:tabs>
                <w:tab w:val="left" w:pos="270"/>
              </w:tabs>
              <w:spacing w:after="0" w:line="360" w:lineRule="auto"/>
              <w:jc w:val="both"/>
              <w:rPr>
                <w:rFonts w:ascii="Garamond" w:hAnsi="Garamond"/>
                <w:sz w:val="24"/>
                <w:szCs w:val="24"/>
              </w:rPr>
            </w:pPr>
          </w:p>
        </w:tc>
        <w:tc>
          <w:tcPr>
            <w:tcW w:w="1149"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k</w:t>
            </w:r>
          </w:p>
        </w:tc>
        <w:tc>
          <w:tcPr>
            <w:tcW w:w="115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kp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9" w:type="dxa"/>
            <w:vMerge w:val="continue"/>
            <w:shd w:val="clear" w:color="auto" w:fill="auto"/>
          </w:tcPr>
          <w:p>
            <w:pPr>
              <w:tabs>
                <w:tab w:val="left" w:pos="270"/>
              </w:tabs>
              <w:spacing w:after="0" w:line="360" w:lineRule="auto"/>
              <w:jc w:val="both"/>
              <w:rPr>
                <w:rFonts w:ascii="Garamond" w:hAnsi="Garamond"/>
                <w:b/>
                <w:sz w:val="24"/>
                <w:szCs w:val="24"/>
              </w:rPr>
            </w:pPr>
          </w:p>
        </w:tc>
        <w:tc>
          <w:tcPr>
            <w:tcW w:w="1181"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sonore</w:t>
            </w:r>
          </w:p>
        </w:tc>
        <w:tc>
          <w:tcPr>
            <w:tcW w:w="1172"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b</w:t>
            </w:r>
          </w:p>
        </w:tc>
        <w:tc>
          <w:tcPr>
            <w:tcW w:w="120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d</w:t>
            </w:r>
          </w:p>
        </w:tc>
        <w:tc>
          <w:tcPr>
            <w:tcW w:w="1175" w:type="dxa"/>
            <w:shd w:val="clear" w:color="auto" w:fill="auto"/>
          </w:tcPr>
          <w:p>
            <w:pPr>
              <w:tabs>
                <w:tab w:val="left" w:pos="270"/>
              </w:tabs>
              <w:spacing w:after="0" w:line="360" w:lineRule="auto"/>
              <w:jc w:val="both"/>
              <w:rPr>
                <w:rFonts w:ascii="Garamond" w:hAnsi="Garamond"/>
                <w:sz w:val="24"/>
                <w:szCs w:val="24"/>
              </w:rPr>
            </w:pPr>
          </w:p>
        </w:tc>
        <w:tc>
          <w:tcPr>
            <w:tcW w:w="1149"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g</w:t>
            </w:r>
          </w:p>
        </w:tc>
        <w:tc>
          <w:tcPr>
            <w:tcW w:w="115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gb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0" w:type="dxa"/>
            <w:gridSpan w:val="2"/>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nasale</w:t>
            </w:r>
          </w:p>
        </w:tc>
        <w:tc>
          <w:tcPr>
            <w:tcW w:w="1172"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m</w:t>
            </w:r>
          </w:p>
        </w:tc>
        <w:tc>
          <w:tcPr>
            <w:tcW w:w="120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n</w:t>
            </w:r>
          </w:p>
        </w:tc>
        <w:tc>
          <w:tcPr>
            <w:tcW w:w="1175" w:type="dxa"/>
            <w:shd w:val="clear" w:color="auto" w:fill="auto"/>
          </w:tcPr>
          <w:p>
            <w:pPr>
              <w:tabs>
                <w:tab w:val="left" w:pos="270"/>
              </w:tabs>
              <w:spacing w:after="0" w:line="360" w:lineRule="auto"/>
              <w:jc w:val="both"/>
              <w:rPr>
                <w:rFonts w:ascii="Garamond" w:hAnsi="Garamond"/>
                <w:sz w:val="24"/>
                <w:szCs w:val="24"/>
              </w:rPr>
            </w:pPr>
          </w:p>
        </w:tc>
        <w:tc>
          <w:tcPr>
            <w:tcW w:w="1149" w:type="dxa"/>
            <w:shd w:val="clear" w:color="auto" w:fill="auto"/>
          </w:tcPr>
          <w:p>
            <w:pPr>
              <w:tabs>
                <w:tab w:val="left" w:pos="270"/>
              </w:tabs>
              <w:spacing w:after="0" w:line="360" w:lineRule="auto"/>
              <w:jc w:val="both"/>
              <w:rPr>
                <w:rFonts w:ascii="Garamond" w:hAnsi="Garamond"/>
                <w:sz w:val="24"/>
                <w:szCs w:val="24"/>
              </w:rPr>
            </w:pPr>
          </w:p>
        </w:tc>
        <w:tc>
          <w:tcPr>
            <w:tcW w:w="1150" w:type="dxa"/>
            <w:shd w:val="clear" w:color="auto" w:fill="auto"/>
          </w:tcPr>
          <w:p>
            <w:pPr>
              <w:tabs>
                <w:tab w:val="left" w:pos="270"/>
              </w:tabs>
              <w:spacing w:after="0" w:line="360" w:lineRule="auto"/>
              <w:jc w:val="both"/>
              <w:rPr>
                <w:rFonts w:ascii="Garamond" w:hAnsi="Garamond"/>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9" w:type="dxa"/>
            <w:vMerge w:val="restart"/>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constructive</w:t>
            </w:r>
          </w:p>
        </w:tc>
        <w:tc>
          <w:tcPr>
            <w:tcW w:w="1181"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fricative</w:t>
            </w:r>
          </w:p>
        </w:tc>
        <w:tc>
          <w:tcPr>
            <w:tcW w:w="1172"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f   w</w:t>
            </w:r>
          </w:p>
        </w:tc>
        <w:tc>
          <w:tcPr>
            <w:tcW w:w="120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s</w:t>
            </w:r>
          </w:p>
        </w:tc>
        <w:tc>
          <w:tcPr>
            <w:tcW w:w="1175"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y</w:t>
            </w:r>
          </w:p>
        </w:tc>
        <w:tc>
          <w:tcPr>
            <w:tcW w:w="1149" w:type="dxa"/>
            <w:shd w:val="clear" w:color="auto" w:fill="auto"/>
          </w:tcPr>
          <w:p>
            <w:pPr>
              <w:tabs>
                <w:tab w:val="left" w:pos="270"/>
              </w:tabs>
              <w:spacing w:after="0" w:line="360" w:lineRule="auto"/>
              <w:jc w:val="both"/>
              <w:rPr>
                <w:rFonts w:ascii="Garamond" w:hAnsi="Garamond"/>
                <w:sz w:val="24"/>
                <w:szCs w:val="24"/>
              </w:rPr>
            </w:pPr>
          </w:p>
        </w:tc>
        <w:tc>
          <w:tcPr>
            <w:tcW w:w="1150" w:type="dxa"/>
            <w:shd w:val="clear" w:color="auto" w:fill="auto"/>
          </w:tcPr>
          <w:p>
            <w:pPr>
              <w:tabs>
                <w:tab w:val="left" w:pos="270"/>
              </w:tabs>
              <w:spacing w:after="0" w:line="360" w:lineRule="auto"/>
              <w:jc w:val="both"/>
              <w:rPr>
                <w:rFonts w:ascii="Garamond" w:hAnsi="Garamond"/>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69" w:type="dxa"/>
            <w:vMerge w:val="continue"/>
            <w:shd w:val="clear" w:color="auto" w:fill="auto"/>
          </w:tcPr>
          <w:p>
            <w:pPr>
              <w:tabs>
                <w:tab w:val="left" w:pos="270"/>
              </w:tabs>
              <w:spacing w:after="0" w:line="360" w:lineRule="auto"/>
              <w:jc w:val="both"/>
              <w:rPr>
                <w:rFonts w:ascii="Garamond" w:hAnsi="Garamond"/>
                <w:b/>
                <w:sz w:val="24"/>
                <w:szCs w:val="24"/>
              </w:rPr>
            </w:pPr>
          </w:p>
        </w:tc>
        <w:tc>
          <w:tcPr>
            <w:tcW w:w="1181" w:type="dxa"/>
            <w:shd w:val="clear" w:color="auto" w:fill="auto"/>
          </w:tcPr>
          <w:p>
            <w:pPr>
              <w:tabs>
                <w:tab w:val="left" w:pos="270"/>
              </w:tabs>
              <w:spacing w:after="0" w:line="360" w:lineRule="auto"/>
              <w:jc w:val="both"/>
              <w:rPr>
                <w:rFonts w:ascii="Garamond" w:hAnsi="Garamond"/>
                <w:b/>
                <w:sz w:val="24"/>
                <w:szCs w:val="24"/>
              </w:rPr>
            </w:pPr>
            <w:r>
              <w:rPr>
                <w:rFonts w:ascii="Garamond" w:hAnsi="Garamond"/>
                <w:b/>
                <w:sz w:val="24"/>
                <w:szCs w:val="24"/>
              </w:rPr>
              <w:t>latérale</w:t>
            </w:r>
          </w:p>
        </w:tc>
        <w:tc>
          <w:tcPr>
            <w:tcW w:w="1172" w:type="dxa"/>
            <w:shd w:val="clear" w:color="auto" w:fill="auto"/>
          </w:tcPr>
          <w:p>
            <w:pPr>
              <w:tabs>
                <w:tab w:val="left" w:pos="270"/>
              </w:tabs>
              <w:spacing w:after="0" w:line="360" w:lineRule="auto"/>
              <w:jc w:val="both"/>
              <w:rPr>
                <w:rFonts w:ascii="Garamond" w:hAnsi="Garamond"/>
                <w:sz w:val="24"/>
                <w:szCs w:val="24"/>
              </w:rPr>
            </w:pPr>
          </w:p>
        </w:tc>
        <w:tc>
          <w:tcPr>
            <w:tcW w:w="120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r</w:t>
            </w:r>
          </w:p>
        </w:tc>
        <w:tc>
          <w:tcPr>
            <w:tcW w:w="1175" w:type="dxa"/>
            <w:shd w:val="clear" w:color="auto" w:fill="auto"/>
          </w:tcPr>
          <w:p>
            <w:pPr>
              <w:tabs>
                <w:tab w:val="left" w:pos="270"/>
              </w:tabs>
              <w:spacing w:after="0" w:line="360" w:lineRule="auto"/>
              <w:jc w:val="both"/>
              <w:rPr>
                <w:rFonts w:ascii="Garamond" w:hAnsi="Garamond"/>
                <w:sz w:val="24"/>
                <w:szCs w:val="24"/>
              </w:rPr>
            </w:pPr>
          </w:p>
        </w:tc>
        <w:tc>
          <w:tcPr>
            <w:tcW w:w="1149" w:type="dxa"/>
            <w:shd w:val="clear" w:color="auto" w:fill="auto"/>
          </w:tcPr>
          <w:p>
            <w:pPr>
              <w:tabs>
                <w:tab w:val="left" w:pos="270"/>
              </w:tabs>
              <w:spacing w:after="0" w:line="360" w:lineRule="auto"/>
              <w:jc w:val="both"/>
              <w:rPr>
                <w:rFonts w:ascii="Garamond" w:hAnsi="Garamond"/>
                <w:sz w:val="24"/>
                <w:szCs w:val="24"/>
              </w:rPr>
            </w:pPr>
          </w:p>
        </w:tc>
        <w:tc>
          <w:tcPr>
            <w:tcW w:w="1150" w:type="dxa"/>
            <w:shd w:val="clear" w:color="auto" w:fill="auto"/>
          </w:tcPr>
          <w:p>
            <w:pPr>
              <w:tabs>
                <w:tab w:val="left" w:pos="270"/>
              </w:tabs>
              <w:spacing w:after="0" w:line="360" w:lineRule="auto"/>
              <w:jc w:val="both"/>
              <w:rPr>
                <w:rFonts w:ascii="Garamond" w:hAnsi="Garamond"/>
                <w:sz w:val="24"/>
                <w:szCs w:val="24"/>
              </w:rPr>
            </w:pPr>
          </w:p>
        </w:tc>
      </w:tr>
    </w:tbl>
    <w:p>
      <w:pPr>
        <w:tabs>
          <w:tab w:val="left" w:pos="270"/>
        </w:tabs>
        <w:spacing w:after="0" w:line="360" w:lineRule="auto"/>
        <w:jc w:val="both"/>
        <w:rPr>
          <w:rFonts w:ascii="Garamond" w:hAnsi="Garamond"/>
          <w:b/>
          <w:sz w:val="24"/>
          <w:szCs w:val="24"/>
        </w:rPr>
      </w:pPr>
    </w:p>
    <w:p>
      <w:pPr>
        <w:tabs>
          <w:tab w:val="left" w:pos="270"/>
        </w:tabs>
        <w:spacing w:after="0" w:line="360" w:lineRule="auto"/>
        <w:jc w:val="both"/>
        <w:rPr>
          <w:rFonts w:ascii="Garamond" w:hAnsi="Garamond"/>
          <w:b/>
          <w:sz w:val="24"/>
          <w:szCs w:val="24"/>
        </w:rPr>
      </w:pPr>
      <w:r>
        <w:rPr>
          <w:rFonts w:ascii="Garamond" w:hAnsi="Garamond"/>
          <w:b/>
          <w:sz w:val="24"/>
          <w:szCs w:val="24"/>
        </w:rPr>
        <w:t xml:space="preserve">Tableau 2 : Phonèmes consonantiques du </w:t>
      </w:r>
      <w:r>
        <w:rPr>
          <w:rFonts w:ascii="Garamond" w:hAnsi="Garamond"/>
          <w:b/>
          <w:i/>
          <w:sz w:val="24"/>
          <w:szCs w:val="24"/>
        </w:rPr>
        <w:t>baat</w:t>
      </w:r>
      <w:r>
        <w:rPr>
          <w:rFonts w:ascii="Times New Roman" w:hAnsi="Times New Roman"/>
          <w:b/>
          <w:i/>
          <w:sz w:val="24"/>
          <w:szCs w:val="24"/>
        </w:rPr>
        <w:t>ɔ</w:t>
      </w:r>
      <w:r>
        <w:rPr>
          <w:rFonts w:ascii="Garamond" w:hAnsi="Garamond"/>
          <w:b/>
          <w:i/>
          <w:sz w:val="24"/>
          <w:szCs w:val="24"/>
        </w:rPr>
        <w:t>num</w:t>
      </w:r>
      <w:r>
        <w:rPr>
          <w:rFonts w:ascii="Garamond" w:hAnsi="Garamond"/>
          <w:b/>
          <w:sz w:val="24"/>
          <w:szCs w:val="24"/>
        </w:rPr>
        <w:t xml:space="preserve"> selon Dindi (1984)</w:t>
      </w:r>
    </w:p>
    <w:p>
      <w:pPr>
        <w:tabs>
          <w:tab w:val="left" w:pos="270"/>
        </w:tabs>
        <w:spacing w:after="0" w:line="360" w:lineRule="auto"/>
        <w:jc w:val="both"/>
        <w:rPr>
          <w:rFonts w:ascii="Garamond" w:hAnsi="Garamond"/>
          <w:b/>
          <w:sz w:val="24"/>
          <w:szCs w:val="24"/>
        </w:rPr>
      </w:pPr>
      <w:r>
        <w:rPr>
          <w:rFonts w:ascii="Garamond" w:hAnsi="Garamond"/>
          <w:b/>
          <w:sz w:val="24"/>
          <w:szCs w:val="24"/>
        </w:rPr>
        <w:t>Extrait de Yamaro (2005 : 32)</w:t>
      </w:r>
    </w:p>
    <w:p>
      <w:pPr>
        <w:tabs>
          <w:tab w:val="left" w:pos="270"/>
        </w:tabs>
        <w:spacing w:after="0" w:line="360" w:lineRule="auto"/>
        <w:jc w:val="both"/>
        <w:rPr>
          <w:rFonts w:ascii="Garamond" w:hAnsi="Garamond"/>
          <w:b/>
          <w:sz w:val="24"/>
          <w:szCs w:val="24"/>
        </w:rPr>
      </w:pPr>
    </w:p>
    <w:p>
      <w:pPr>
        <w:tabs>
          <w:tab w:val="left" w:pos="270"/>
        </w:tabs>
        <w:spacing w:after="0" w:line="360" w:lineRule="auto"/>
        <w:jc w:val="both"/>
        <w:rPr>
          <w:rFonts w:ascii="Garamond" w:hAnsi="Garamond"/>
          <w:b/>
          <w:sz w:val="24"/>
          <w:szCs w:val="24"/>
        </w:rPr>
      </w:pPr>
    </w:p>
    <w:p>
      <w:pPr>
        <w:numPr>
          <w:ilvl w:val="0"/>
          <w:numId w:val="2"/>
        </w:numPr>
        <w:tabs>
          <w:tab w:val="left" w:pos="270"/>
        </w:tabs>
        <w:spacing w:after="0" w:line="360" w:lineRule="auto"/>
        <w:jc w:val="both"/>
        <w:rPr>
          <w:rFonts w:ascii="Garamond" w:hAnsi="Garamond"/>
          <w:b/>
          <w:sz w:val="24"/>
          <w:szCs w:val="24"/>
        </w:rPr>
      </w:pPr>
      <w:r>
        <w:rPr>
          <w:rFonts w:ascii="Garamond" w:hAnsi="Garamond"/>
          <w:b/>
          <w:sz w:val="24"/>
          <w:szCs w:val="24"/>
        </w:rPr>
        <w:t>Les systèmes vocaliques</w:t>
      </w:r>
    </w:p>
    <w:p>
      <w:pPr>
        <w:shd w:val="clear" w:color="auto" w:fill="FFFFFF"/>
        <w:tabs>
          <w:tab w:val="left" w:pos="270"/>
        </w:tabs>
        <w:spacing w:before="100" w:beforeAutospacing="1" w:after="100" w:afterAutospacing="1" w:line="480" w:lineRule="auto"/>
        <w:jc w:val="both"/>
        <w:rPr>
          <w:rFonts w:ascii="Garamond" w:hAnsi="Garamond" w:eastAsia="Times New Roman"/>
          <w:sz w:val="24"/>
          <w:szCs w:val="24"/>
        </w:rPr>
      </w:pPr>
      <w:r>
        <w:rPr>
          <w:rFonts w:ascii="Garamond" w:hAnsi="Garamond"/>
          <w:sz w:val="24"/>
          <w:szCs w:val="24"/>
        </w:rPr>
        <w:t xml:space="preserve">Une voyelle est un son voisé qui est produit sans obstacle au passage d’air. </w:t>
      </w:r>
      <w:r>
        <w:rPr>
          <w:rFonts w:ascii="Garamond" w:hAnsi="Garamond" w:eastAsia="Times New Roman"/>
          <w:sz w:val="24"/>
          <w:szCs w:val="24"/>
        </w:rPr>
        <w:t xml:space="preserve"> Les voyelles </w:t>
      </w:r>
      <w:r>
        <w:rPr>
          <w:rFonts w:ascii="Garamond" w:hAnsi="Garamond" w:eastAsia="Times New Roman"/>
          <w:b/>
          <w:bCs/>
          <w:sz w:val="24"/>
          <w:szCs w:val="24"/>
        </w:rPr>
        <w:t>orales</w:t>
      </w:r>
      <w:r>
        <w:rPr>
          <w:rFonts w:ascii="Garamond" w:hAnsi="Garamond" w:eastAsia="Times New Roman"/>
          <w:sz w:val="24"/>
          <w:szCs w:val="24"/>
        </w:rPr>
        <w:t xml:space="preserve"> et </w:t>
      </w:r>
      <w:r>
        <w:rPr>
          <w:rFonts w:ascii="Garamond" w:hAnsi="Garamond" w:eastAsia="Times New Roman"/>
          <w:b/>
          <w:sz w:val="24"/>
          <w:szCs w:val="24"/>
        </w:rPr>
        <w:t>nasales</w:t>
      </w:r>
      <w:r>
        <w:rPr>
          <w:rFonts w:ascii="Garamond" w:hAnsi="Garamond" w:eastAsia="Times New Roman"/>
          <w:sz w:val="24"/>
          <w:szCs w:val="24"/>
        </w:rPr>
        <w:t xml:space="preserve"> du français sont présentées dans les tableaux ci-dessous avec les descripteurs qui servent à caractériser leur production.</w:t>
      </w:r>
    </w:p>
    <w:tbl>
      <w:tblPr>
        <w:tblStyle w:val="12"/>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Layout w:type="autofit"/>
        <w:tblCellMar>
          <w:top w:w="15" w:type="dxa"/>
          <w:left w:w="15" w:type="dxa"/>
          <w:bottom w:w="15" w:type="dxa"/>
          <w:right w:w="15" w:type="dxa"/>
        </w:tblCellMar>
      </w:tblPr>
      <w:tblGrid>
        <w:gridCol w:w="1245"/>
        <w:gridCol w:w="1230"/>
        <w:gridCol w:w="1230"/>
        <w:gridCol w:w="1230"/>
        <w:gridCol w:w="1230"/>
        <w:gridCol w:w="1245"/>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bookmarkStart w:id="1" w:name="haut"/>
            <w:bookmarkEnd w:id="1"/>
            <w:r>
              <w:rPr>
                <w:rFonts w:ascii="Times New Roman" w:hAnsi="Times New Roman" w:eastAsia="Times New Roman"/>
                <w:sz w:val="24"/>
                <w:szCs w:val="24"/>
              </w:rPr>
              <w:t> </w:t>
            </w:r>
          </w:p>
        </w:tc>
        <w:tc>
          <w:tcPr>
            <w:tcW w:w="6120" w:type="dxa"/>
            <w:gridSpan w:val="5"/>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Times New Roman" w:hAnsi="Times New Roman" w:eastAsia="Times New Roman"/>
                <w:b/>
                <w:bCs/>
                <w:sz w:val="24"/>
                <w:szCs w:val="24"/>
              </w:rPr>
            </w:pPr>
            <w:r>
              <w:rPr>
                <w:rFonts w:ascii="Times New Roman" w:hAnsi="Times New Roman" w:eastAsia="Times New Roman"/>
                <w:b/>
                <w:bCs/>
                <w:sz w:val="24"/>
                <w:szCs w:val="24"/>
              </w:rPr>
              <w:t>Orales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2430" w:type="dxa"/>
            <w:gridSpan w:val="2"/>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antérieures</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centrales</w:t>
            </w:r>
          </w:p>
        </w:tc>
        <w:tc>
          <w:tcPr>
            <w:tcW w:w="2430" w:type="dxa"/>
            <w:gridSpan w:val="2"/>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postérieures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non arrondies</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arrondies</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non arrondies</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non arrondies</w:t>
            </w:r>
          </w:p>
        </w:tc>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arrondies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fermées</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87960"/>
                  <wp:effectExtent l="0" t="0" r="0" b="0"/>
                  <wp:docPr id="4" name="Picture 16" descr="Description: http://www.sfu.ca/fren270/Phonetique/symbols/pfi1.GIF">
                    <a:hlinkClick xmlns:a="http://schemas.openxmlformats.org/drawingml/2006/main" r:id="rId7"/>
                  </wp:docPr>
                  <wp:cNvGraphicFramePr/>
                  <a:graphic xmlns:a="http://schemas.openxmlformats.org/drawingml/2006/main">
                    <a:graphicData uri="http://schemas.openxmlformats.org/drawingml/2006/picture">
                      <pic:pic xmlns:pic="http://schemas.openxmlformats.org/drawingml/2006/picture">
                        <pic:nvPicPr>
                          <pic:cNvPr id="4" name="Picture 16" descr="Description: http://www.sfu.ca/fren270/Phonetique/symbols/pfi1.GIF"/>
                          <pic:cNvPicPr/>
                        </pic:nvPicPr>
                        <pic:blipFill>
                          <a:blip r:embed="rId8">
                            <a:extLst>
                              <a:ext uri="{28A0092B-C50C-407E-A947-70E740481C1C}">
                                <a14:useLocalDpi xmlns:a14="http://schemas.microsoft.com/office/drawing/2010/main" val="0"/>
                              </a:ext>
                            </a:extLst>
                          </a:blip>
                          <a:srcRect/>
                          <a:stretch>
                            <a:fillRect/>
                          </a:stretch>
                        </pic:blipFill>
                        <pic:spPr>
                          <a:xfrm>
                            <a:off x="0" y="0"/>
                            <a:ext cx="179705" cy="187960"/>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5" name="Picture 15" descr="Description: http://www.sfu.ca/fren270/Phonetique/symbols/pfy1.GIF">
                    <a:hlinkClick xmlns:a="http://schemas.openxmlformats.org/drawingml/2006/main" r:id="rId9"/>
                  </wp:docPr>
                  <wp:cNvGraphicFramePr/>
                  <a:graphic xmlns:a="http://schemas.openxmlformats.org/drawingml/2006/main">
                    <a:graphicData uri="http://schemas.openxmlformats.org/drawingml/2006/picture">
                      <pic:pic xmlns:pic="http://schemas.openxmlformats.org/drawingml/2006/picture">
                        <pic:nvPicPr>
                          <pic:cNvPr id="5" name="Picture 15" descr="Description: http://www.sfu.ca/fren270/Phonetique/symbols/pfy1.GIF"/>
                          <pic:cNvPicPr/>
                        </pic:nvPicPr>
                        <pic:blipFill>
                          <a:blip r:embed="rId10">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6" name="Picture 14" descr="Description: http://www.sfu.ca/fren270/Phonetique/symbols/pfu1.GIF">
                    <a:hlinkClick xmlns:a="http://schemas.openxmlformats.org/drawingml/2006/main" r:id="rId11"/>
                  </wp:docPr>
                  <wp:cNvGraphicFramePr/>
                  <a:graphic xmlns:a="http://schemas.openxmlformats.org/drawingml/2006/main">
                    <a:graphicData uri="http://schemas.openxmlformats.org/drawingml/2006/picture">
                      <pic:pic xmlns:pic="http://schemas.openxmlformats.org/drawingml/2006/picture">
                        <pic:nvPicPr>
                          <pic:cNvPr id="6" name="Picture 14" descr="Description: http://www.sfu.ca/fren270/Phonetique/symbols/pfu1.GIF"/>
                          <pic:cNvPicPr/>
                        </pic:nvPicPr>
                        <pic:blipFill>
                          <a:blip r:embed="rId12">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mi-fermées</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7" name="Picture 13" descr="Description: http://www.sfu.ca/fren270/Phonetique/symbols/pfe1.GIF">
                    <a:hlinkClick xmlns:a="http://schemas.openxmlformats.org/drawingml/2006/main" r:id="rId13"/>
                  </wp:docPr>
                  <wp:cNvGraphicFramePr/>
                  <a:graphic xmlns:a="http://schemas.openxmlformats.org/drawingml/2006/main">
                    <a:graphicData uri="http://schemas.openxmlformats.org/drawingml/2006/picture">
                      <pic:pic xmlns:pic="http://schemas.openxmlformats.org/drawingml/2006/picture">
                        <pic:nvPicPr>
                          <pic:cNvPr id="7" name="Picture 13" descr="Description: http://www.sfu.ca/fren270/Phonetique/symbols/pfe1.GIF"/>
                          <pic:cNvPicPr/>
                        </pic:nvPicPr>
                        <pic:blipFill>
                          <a:blip r:embed="rId14">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8" name="Picture 12" descr="Description: http://www.sfu.ca/fren270/Phonetique/symbols/pfeu1.GIF">
                    <a:hlinkClick xmlns:a="http://schemas.openxmlformats.org/drawingml/2006/main" r:id="rId15"/>
                  </wp:docPr>
                  <wp:cNvGraphicFramePr/>
                  <a:graphic xmlns:a="http://schemas.openxmlformats.org/drawingml/2006/main">
                    <a:graphicData uri="http://schemas.openxmlformats.org/drawingml/2006/picture">
                      <pic:pic xmlns:pic="http://schemas.openxmlformats.org/drawingml/2006/picture">
                        <pic:nvPicPr>
                          <pic:cNvPr id="8" name="Picture 12" descr="Description: http://www.sfu.ca/fren270/Phonetique/symbols/pfeu1.GIF"/>
                          <pic:cNvPicPr/>
                        </pic:nvPicPr>
                        <pic:blipFill>
                          <a:blip r:embed="rId16">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9" name="Picture 11" descr="Description: http://www.sfu.ca/fren270/Phonetique/symbols/pfo1.GIF">
                    <a:hlinkClick xmlns:a="http://schemas.openxmlformats.org/drawingml/2006/main" r:id="rId17"/>
                  </wp:docPr>
                  <wp:cNvGraphicFramePr/>
                  <a:graphic xmlns:a="http://schemas.openxmlformats.org/drawingml/2006/main">
                    <a:graphicData uri="http://schemas.openxmlformats.org/drawingml/2006/picture">
                      <pic:pic xmlns:pic="http://schemas.openxmlformats.org/drawingml/2006/picture">
                        <pic:nvPicPr>
                          <pic:cNvPr id="9" name="Picture 11" descr="Description: http://www.sfu.ca/fren270/Phonetique/symbols/pfo1.GIF"/>
                          <pic:cNvPicPr/>
                        </pic:nvPicPr>
                        <pic:blipFill>
                          <a:blip r:embed="rId18">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moyenne</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10" name="Picture 10" descr="Description: http://www.sfu.ca/fren270/Phonetique/symbols/pfe3.GIF">
                    <a:hlinkClick xmlns:a="http://schemas.openxmlformats.org/drawingml/2006/main" r:id="rId19"/>
                  </wp:docPr>
                  <wp:cNvGraphicFramePr/>
                  <a:graphic xmlns:a="http://schemas.openxmlformats.org/drawingml/2006/main">
                    <a:graphicData uri="http://schemas.openxmlformats.org/drawingml/2006/picture">
                      <pic:pic xmlns:pic="http://schemas.openxmlformats.org/drawingml/2006/picture">
                        <pic:nvPicPr>
                          <pic:cNvPr id="10" name="Picture 10" descr="Description: http://www.sfu.ca/fren270/Phonetique/symbols/pfe3.GIF"/>
                          <pic:cNvPicPr/>
                        </pic:nvPicPr>
                        <pic:blipFill>
                          <a:blip r:embed="rId20">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mi-ouvertes</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11" name="Picture 9" descr="Description: http://www.sfu.ca/fren270/Phonetique/symbols/pfe2.GIF">
                    <a:hlinkClick xmlns:a="http://schemas.openxmlformats.org/drawingml/2006/main" r:id="rId21"/>
                  </wp:docPr>
                  <wp:cNvGraphicFramePr/>
                  <a:graphic xmlns:a="http://schemas.openxmlformats.org/drawingml/2006/main">
                    <a:graphicData uri="http://schemas.openxmlformats.org/drawingml/2006/picture">
                      <pic:pic xmlns:pic="http://schemas.openxmlformats.org/drawingml/2006/picture">
                        <pic:nvPicPr>
                          <pic:cNvPr id="11" name="Picture 9" descr="Description: http://www.sfu.ca/fren270/Phonetique/symbols/pfe2.GIF"/>
                          <pic:cNvPicPr/>
                        </pic:nvPicPr>
                        <pic:blipFill>
                          <a:blip r:embed="rId22">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87960" cy="179705"/>
                  <wp:effectExtent l="0" t="0" r="0" b="0"/>
                  <wp:docPr id="12" name="Picture 8" descr="Description: http://www.sfu.ca/fren270/Phonetique/symbols/pfoe1.GIF">
                    <a:hlinkClick xmlns:a="http://schemas.openxmlformats.org/drawingml/2006/main" r:id="rId23"/>
                  </wp:docPr>
                  <wp:cNvGraphicFramePr/>
                  <a:graphic xmlns:a="http://schemas.openxmlformats.org/drawingml/2006/main">
                    <a:graphicData uri="http://schemas.openxmlformats.org/drawingml/2006/picture">
                      <pic:pic xmlns:pic="http://schemas.openxmlformats.org/drawingml/2006/picture">
                        <pic:nvPicPr>
                          <pic:cNvPr id="12" name="Picture 8" descr="Description: http://www.sfu.ca/fren270/Phonetique/symbols/pfoe1.GIF"/>
                          <pic:cNvPicPr/>
                        </pic:nvPicPr>
                        <pic:blipFill>
                          <a:blip r:embed="rId24">
                            <a:extLst>
                              <a:ext uri="{28A0092B-C50C-407E-A947-70E740481C1C}">
                                <a14:useLocalDpi xmlns:a14="http://schemas.microsoft.com/office/drawing/2010/main" val="0"/>
                              </a:ext>
                            </a:extLst>
                          </a:blip>
                          <a:srcRect/>
                          <a:stretch>
                            <a:fillRect/>
                          </a:stretch>
                        </pic:blipFill>
                        <pic:spPr>
                          <a:xfrm>
                            <a:off x="0" y="0"/>
                            <a:ext cx="187960"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13" name="Picture 7" descr="Description: http://www.sfu.ca/fren270/Phonetique/symbols/pfo2.GIF">
                    <a:hlinkClick xmlns:a="http://schemas.openxmlformats.org/drawingml/2006/main" r:id="rId25"/>
                  </wp:docPr>
                  <wp:cNvGraphicFramePr/>
                  <a:graphic xmlns:a="http://schemas.openxmlformats.org/drawingml/2006/main">
                    <a:graphicData uri="http://schemas.openxmlformats.org/drawingml/2006/picture">
                      <pic:pic xmlns:pic="http://schemas.openxmlformats.org/drawingml/2006/picture">
                        <pic:nvPicPr>
                          <pic:cNvPr id="13" name="Picture 7" descr="Description: http://www.sfu.ca/fren270/Phonetique/symbols/pfo2.GIF"/>
                          <pic:cNvPicPr/>
                        </pic:nvPicPr>
                        <pic:blipFill>
                          <a:blip r:embed="rId26">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blCellSpacing w:w="15" w:type="dxa"/>
          <w:jc w:val="center"/>
        </w:trPr>
        <w:tc>
          <w:tcPr>
            <w:tcW w:w="1200"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ouvertes</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79705" cy="179705"/>
                  <wp:effectExtent l="0" t="0" r="0" b="0"/>
                  <wp:docPr id="14" name="Picture 6" descr="Description: http://www.sfu.ca/fren270/Phonetique/symbols/pfa1.GIF">
                    <a:hlinkClick xmlns:a="http://schemas.openxmlformats.org/drawingml/2006/main" r:id="rId27"/>
                  </wp:docPr>
                  <wp:cNvGraphicFramePr/>
                  <a:graphic xmlns:a="http://schemas.openxmlformats.org/drawingml/2006/main">
                    <a:graphicData uri="http://schemas.openxmlformats.org/drawingml/2006/picture">
                      <pic:pic xmlns:pic="http://schemas.openxmlformats.org/drawingml/2006/picture">
                        <pic:nvPicPr>
                          <pic:cNvPr id="14" name="Picture 6" descr="Description: http://www.sfu.ca/fren270/Phonetique/symbols/pfa1.GIF"/>
                          <pic:cNvPicPr/>
                        </pic:nvPicPr>
                        <pic:blipFill>
                          <a:blip r:embed="rId28">
                            <a:extLst>
                              <a:ext uri="{28A0092B-C50C-407E-A947-70E740481C1C}">
                                <a14:useLocalDpi xmlns:a14="http://schemas.microsoft.com/office/drawing/2010/main" val="0"/>
                              </a:ext>
                            </a:extLst>
                          </a:blip>
                          <a:srcRect/>
                          <a:stretch>
                            <a:fillRect/>
                          </a:stretch>
                        </pic:blipFill>
                        <pic:spPr>
                          <a:xfrm>
                            <a:off x="0" y="0"/>
                            <a:ext cx="179705"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Times New Roman" w:hAnsi="Times New Roman" w:eastAsia="Times New Roman"/>
                <w:sz w:val="24"/>
                <w:szCs w:val="24"/>
              </w:rPr>
            </w:pPr>
            <w:r>
              <w:rPr>
                <w:rFonts w:ascii="Times New Roman" w:hAnsi="Times New Roman" w:eastAsia="Times New Roman"/>
                <w:sz w:val="24"/>
                <w:szCs w:val="24"/>
              </w:rPr>
              <w:t> </w:t>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jc w:val="center"/>
              <w:rPr>
                <w:rFonts w:ascii="Times New Roman" w:hAnsi="Times New Roman" w:eastAsia="Times New Roman"/>
                <w:sz w:val="24"/>
                <w:szCs w:val="24"/>
              </w:rPr>
            </w:pPr>
            <w:r>
              <w:rPr>
                <w:rFonts w:ascii="Times New Roman" w:hAnsi="Times New Roman" w:eastAsia="Times New Roman"/>
                <w:sz w:val="24"/>
                <w:szCs w:val="24"/>
                <w:lang w:val="en-US"/>
              </w:rPr>
              <w:drawing>
                <wp:inline distT="0" distB="0" distL="0" distR="0">
                  <wp:extent cx="187960" cy="179705"/>
                  <wp:effectExtent l="0" t="0" r="0" b="0"/>
                  <wp:docPr id="15" name="Picture 5" descr="Description: http://www.sfu.ca/fren270/Phonetique/symbols/pfa2.GIF">
                    <a:hlinkClick xmlns:a="http://schemas.openxmlformats.org/drawingml/2006/main" r:id="rId29"/>
                  </wp:docPr>
                  <wp:cNvGraphicFramePr/>
                  <a:graphic xmlns:a="http://schemas.openxmlformats.org/drawingml/2006/main">
                    <a:graphicData uri="http://schemas.openxmlformats.org/drawingml/2006/picture">
                      <pic:pic xmlns:pic="http://schemas.openxmlformats.org/drawingml/2006/picture">
                        <pic:nvPicPr>
                          <pic:cNvPr id="15" name="Picture 5" descr="Description: http://www.sfu.ca/fren270/Phonetique/symbols/pfa2.GIF"/>
                          <pic:cNvPicPr/>
                        </pic:nvPicPr>
                        <pic:blipFill>
                          <a:blip r:embed="rId30">
                            <a:extLst>
                              <a:ext uri="{28A0092B-C50C-407E-A947-70E740481C1C}">
                                <a14:useLocalDpi xmlns:a14="http://schemas.microsoft.com/office/drawing/2010/main" val="0"/>
                              </a:ext>
                            </a:extLst>
                          </a:blip>
                          <a:srcRect/>
                          <a:stretch>
                            <a:fillRect/>
                          </a:stretch>
                        </pic:blipFill>
                        <pic:spPr>
                          <a:xfrm>
                            <a:off x="0" y="0"/>
                            <a:ext cx="187960" cy="179705"/>
                          </a:xfrm>
                          <a:prstGeom prst="rect">
                            <a:avLst/>
                          </a:prstGeom>
                          <a:noFill/>
                          <a:ln>
                            <a:noFill/>
                          </a:ln>
                        </pic:spPr>
                      </pic:pic>
                    </a:graphicData>
                  </a:graphic>
                </wp:inline>
              </w:drawing>
            </w:r>
          </w:p>
        </w:tc>
        <w:tc>
          <w:tcPr>
            <w:tcW w:w="1200"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rPr>
                <w:rFonts w:ascii="Times New Roman" w:hAnsi="Times New Roman" w:eastAsia="Times New Roman"/>
                <w:sz w:val="24"/>
                <w:szCs w:val="24"/>
              </w:rPr>
            </w:pPr>
          </w:p>
        </w:tc>
      </w:tr>
    </w:tbl>
    <w:p>
      <w:pPr>
        <w:tabs>
          <w:tab w:val="left" w:pos="270"/>
        </w:tabs>
        <w:rPr>
          <w:rFonts w:ascii="Garamond" w:hAnsi="Garamond" w:eastAsia="Times New Roman"/>
          <w:sz w:val="24"/>
          <w:szCs w:val="24"/>
        </w:rPr>
      </w:pPr>
      <w:r>
        <w:rPr>
          <w:rFonts w:ascii="Garamond" w:hAnsi="Garamond" w:eastAsia="Times New Roman"/>
          <w:b/>
          <w:sz w:val="24"/>
          <w:szCs w:val="24"/>
        </w:rPr>
        <w:t>Tableau 3 : Voyelles orales du français.</w:t>
      </w:r>
    </w:p>
    <w:p>
      <w:pPr>
        <w:tabs>
          <w:tab w:val="left" w:pos="270"/>
        </w:tabs>
        <w:rPr>
          <w:rFonts w:ascii="Garamond" w:hAnsi="Garamond"/>
          <w:sz w:val="24"/>
          <w:szCs w:val="24"/>
        </w:rPr>
      </w:pPr>
    </w:p>
    <w:tbl>
      <w:tblPr>
        <w:tblStyle w:val="12"/>
        <w:tblW w:w="0" w:type="auto"/>
        <w:jc w:val="center"/>
        <w:tblCellSpacing w:w="15"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Layout w:type="autofit"/>
        <w:tblCellMar>
          <w:top w:w="15" w:type="dxa"/>
          <w:left w:w="15" w:type="dxa"/>
          <w:bottom w:w="15" w:type="dxa"/>
          <w:right w:w="15" w:type="dxa"/>
        </w:tblCellMar>
      </w:tblPr>
      <w:tblGrid>
        <w:gridCol w:w="1237"/>
        <w:gridCol w:w="1222"/>
        <w:gridCol w:w="1222"/>
        <w:gridCol w:w="1222"/>
        <w:gridCol w:w="1222"/>
        <w:gridCol w:w="1238"/>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rHeight w:val="238"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bookmarkStart w:id="2" w:name="hautn"/>
            <w:bookmarkEnd w:id="2"/>
            <w:r>
              <w:rPr>
                <w:rFonts w:ascii="Garamond" w:hAnsi="Garamond" w:eastAsia="Times New Roman"/>
                <w:sz w:val="24"/>
                <w:szCs w:val="24"/>
              </w:rPr>
              <w:t> </w:t>
            </w:r>
          </w:p>
        </w:tc>
        <w:tc>
          <w:tcPr>
            <w:tcW w:w="6081" w:type="dxa"/>
            <w:gridSpan w:val="5"/>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b/>
                <w:bCs/>
                <w:sz w:val="24"/>
                <w:szCs w:val="24"/>
              </w:rPr>
            </w:pPr>
            <w:r>
              <w:rPr>
                <w:rFonts w:ascii="Garamond" w:hAnsi="Garamond" w:eastAsia="Times New Roman"/>
                <w:b/>
                <w:bCs/>
                <w:sz w:val="24"/>
                <w:szCs w:val="24"/>
              </w:rPr>
              <w:t>Nasales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rHeight w:val="238"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2414" w:type="dxa"/>
            <w:gridSpan w:val="2"/>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antérieures</w:t>
            </w:r>
          </w:p>
        </w:tc>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centrales</w:t>
            </w:r>
          </w:p>
        </w:tc>
        <w:tc>
          <w:tcPr>
            <w:tcW w:w="2415" w:type="dxa"/>
            <w:gridSpan w:val="2"/>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postérieures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rHeight w:val="475"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non arrondies</w:t>
            </w:r>
          </w:p>
        </w:tc>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arrondies</w:t>
            </w:r>
          </w:p>
        </w:tc>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non arrondies</w:t>
            </w:r>
          </w:p>
        </w:tc>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non arrondies</w:t>
            </w:r>
          </w:p>
        </w:tc>
        <w:tc>
          <w:tcPr>
            <w:tcW w:w="1193"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rPr>
              <w:t>arrondies</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rHeight w:val="251"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fermées</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3"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rHeight w:val="238"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mi-fermées</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3"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rPr>
                <w:rFonts w:ascii="Garamond" w:hAnsi="Garamond" w:eastAsia="Times New Roman"/>
                <w:sz w:val="24"/>
                <w:szCs w:val="24"/>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rHeight w:val="238"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moyenne</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3"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rHeight w:val="475"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mi-ouvertes</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Garamond" w:hAnsi="Garamond" w:eastAsia="Times New Roman"/>
                <w:sz w:val="24"/>
                <w:szCs w:val="24"/>
              </w:rPr>
            </w:pPr>
            <w:r>
              <w:rPr>
                <w:rFonts w:ascii="Garamond" w:hAnsi="Garamond" w:eastAsia="Times New Roman"/>
                <w:sz w:val="24"/>
                <w:szCs w:val="24"/>
                <w:lang w:val="en-US"/>
              </w:rPr>
              <w:drawing>
                <wp:inline distT="0" distB="0" distL="0" distR="0">
                  <wp:extent cx="187960" cy="236855"/>
                  <wp:effectExtent l="0" t="0" r="0" b="0"/>
                  <wp:docPr id="16" name="Picture 4" descr="Description: http://www.sfu.ca/fren270/Phonetique/symbols/pfen1.GIF">
                    <a:hlinkClick xmlns:a="http://schemas.openxmlformats.org/drawingml/2006/main" r:id="rId31"/>
                  </wp:docPr>
                  <wp:cNvGraphicFramePr/>
                  <a:graphic xmlns:a="http://schemas.openxmlformats.org/drawingml/2006/main">
                    <a:graphicData uri="http://schemas.openxmlformats.org/drawingml/2006/picture">
                      <pic:pic xmlns:pic="http://schemas.openxmlformats.org/drawingml/2006/picture">
                        <pic:nvPicPr>
                          <pic:cNvPr id="16" name="Picture 4" descr="Description: http://www.sfu.ca/fren270/Phonetique/symbols/pfen1.GIF"/>
                          <pic:cNvPicPr/>
                        </pic:nvPicPr>
                        <pic:blipFill>
                          <a:blip r:embed="rId32">
                            <a:extLst>
                              <a:ext uri="{28A0092B-C50C-407E-A947-70E740481C1C}">
                                <a14:useLocalDpi xmlns:a14="http://schemas.microsoft.com/office/drawing/2010/main" val="0"/>
                              </a:ext>
                            </a:extLst>
                          </a:blip>
                          <a:srcRect/>
                          <a:stretch>
                            <a:fillRect/>
                          </a:stretch>
                        </pic:blipFill>
                        <pic:spPr>
                          <a:xfrm>
                            <a:off x="0" y="0"/>
                            <a:ext cx="187960" cy="236855"/>
                          </a:xfrm>
                          <a:prstGeom prst="rect">
                            <a:avLst/>
                          </a:prstGeom>
                          <a:noFill/>
                          <a:ln>
                            <a:noFill/>
                          </a:ln>
                        </pic:spPr>
                      </pic:pic>
                    </a:graphicData>
                  </a:graphic>
                </wp:inline>
              </w:drawing>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jc w:val="center"/>
              <w:rPr>
                <w:rFonts w:ascii="Garamond" w:hAnsi="Garamond" w:eastAsia="Times New Roman"/>
                <w:sz w:val="24"/>
                <w:szCs w:val="24"/>
              </w:rPr>
            </w:pPr>
            <w:r>
              <w:rPr>
                <w:rFonts w:ascii="Garamond" w:hAnsi="Garamond" w:eastAsia="Times New Roman"/>
                <w:sz w:val="24"/>
                <w:szCs w:val="24"/>
                <w:lang w:val="en-US"/>
              </w:rPr>
              <w:drawing>
                <wp:inline distT="0" distB="0" distL="0" distR="0">
                  <wp:extent cx="240665" cy="228600"/>
                  <wp:effectExtent l="0" t="0" r="0" b="0"/>
                  <wp:docPr id="17" name="Picture 3" descr="Description: http://www.sfu.ca/fren270/Phonetique/symbols/pfoen1.GIF">
                    <a:hlinkClick xmlns:a="http://schemas.openxmlformats.org/drawingml/2006/main" r:id="rId23"/>
                  </wp:docPr>
                  <wp:cNvGraphicFramePr/>
                  <a:graphic xmlns:a="http://schemas.openxmlformats.org/drawingml/2006/main">
                    <a:graphicData uri="http://schemas.openxmlformats.org/drawingml/2006/picture">
                      <pic:pic xmlns:pic="http://schemas.openxmlformats.org/drawingml/2006/picture">
                        <pic:nvPicPr>
                          <pic:cNvPr id="17" name="Picture 3" descr="Description: http://www.sfu.ca/fren270/Phonetique/symbols/pfoen1.GIF"/>
                          <pic:cNvPicPr/>
                        </pic:nvPicPr>
                        <pic:blipFill>
                          <a:blip r:embed="rId33">
                            <a:extLst>
                              <a:ext uri="{28A0092B-C50C-407E-A947-70E740481C1C}">
                                <a14:useLocalDpi xmlns:a14="http://schemas.microsoft.com/office/drawing/2010/main" val="0"/>
                              </a:ext>
                            </a:extLst>
                          </a:blip>
                          <a:srcRect/>
                          <a:stretch>
                            <a:fillRect/>
                          </a:stretch>
                        </pic:blipFill>
                        <pic:spPr>
                          <a:xfrm>
                            <a:off x="0" y="0"/>
                            <a:ext cx="240665" cy="228600"/>
                          </a:xfrm>
                          <a:prstGeom prst="rect">
                            <a:avLst/>
                          </a:prstGeom>
                          <a:noFill/>
                          <a:ln>
                            <a:noFill/>
                          </a:ln>
                        </pic:spPr>
                      </pic:pic>
                    </a:graphicData>
                  </a:graphic>
                </wp:inline>
              </w:drawing>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3"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lang w:val="en-US"/>
              </w:rPr>
              <w:drawing>
                <wp:inline distT="0" distB="0" distL="0" distR="0">
                  <wp:extent cx="151130" cy="220345"/>
                  <wp:effectExtent l="0" t="0" r="0" b="0"/>
                  <wp:docPr id="18" name="Picture 2" descr="Description: http://www.sfu.ca/fren270/Phonetique/symbols/pfon2.GIF">
                    <a:hlinkClick xmlns:a="http://schemas.openxmlformats.org/drawingml/2006/main" r:id="rId34"/>
                  </wp:docPr>
                  <wp:cNvGraphicFramePr/>
                  <a:graphic xmlns:a="http://schemas.openxmlformats.org/drawingml/2006/main">
                    <a:graphicData uri="http://schemas.openxmlformats.org/drawingml/2006/picture">
                      <pic:pic xmlns:pic="http://schemas.openxmlformats.org/drawingml/2006/picture">
                        <pic:nvPicPr>
                          <pic:cNvPr id="18" name="Picture 2" descr="Description: http://www.sfu.ca/fren270/Phonetique/symbols/pfon2.GIF"/>
                          <pic:cNvPicPr/>
                        </pic:nvPicPr>
                        <pic:blipFill>
                          <a:blip r:embed="rId35">
                            <a:extLst>
                              <a:ext uri="{28A0092B-C50C-407E-A947-70E740481C1C}">
                                <a14:useLocalDpi xmlns:a14="http://schemas.microsoft.com/office/drawing/2010/main" val="0"/>
                              </a:ext>
                            </a:extLst>
                          </a:blip>
                          <a:srcRect/>
                          <a:stretch>
                            <a:fillRect/>
                          </a:stretch>
                        </pic:blipFill>
                        <pic:spPr>
                          <a:xfrm>
                            <a:off x="0" y="0"/>
                            <a:ext cx="151130" cy="220345"/>
                          </a:xfrm>
                          <a:prstGeom prst="rect">
                            <a:avLst/>
                          </a:prstGeom>
                          <a:noFill/>
                          <a:ln>
                            <a:noFill/>
                          </a:ln>
                        </pic:spPr>
                      </pic:pic>
                    </a:graphicData>
                  </a:graphic>
                </wp:inline>
              </w:drawing>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CCCCCC"/>
          <w:tblCellMar>
            <w:top w:w="15" w:type="dxa"/>
            <w:left w:w="15" w:type="dxa"/>
            <w:bottom w:w="15" w:type="dxa"/>
            <w:right w:w="15" w:type="dxa"/>
          </w:tblCellMar>
        </w:tblPrEx>
        <w:trPr>
          <w:trHeight w:val="343" w:hRule="atLeast"/>
          <w:tblCellSpacing w:w="15" w:type="dxa"/>
          <w:jc w:val="center"/>
        </w:trPr>
        <w:tc>
          <w:tcPr>
            <w:tcW w:w="1192" w:type="dxa"/>
            <w:tcBorders>
              <w:top w:val="outset" w:color="auto" w:sz="6" w:space="0"/>
              <w:left w:val="outset" w:color="auto" w:sz="6" w:space="0"/>
              <w:bottom w:val="outset" w:color="auto" w:sz="6" w:space="0"/>
              <w:right w:val="outset" w:color="auto" w:sz="6" w:space="0"/>
            </w:tcBorders>
            <w:shd w:val="clear" w:color="auto" w:fill="CCCCCC"/>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ouvertes</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after="0" w:line="240" w:lineRule="auto"/>
              <w:rPr>
                <w:rFonts w:ascii="Garamond" w:hAnsi="Garamond" w:eastAsia="Times New Roman"/>
                <w:sz w:val="24"/>
                <w:szCs w:val="24"/>
              </w:rPr>
            </w:pP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c>
          <w:tcPr>
            <w:tcW w:w="1192"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jc w:val="center"/>
              <w:rPr>
                <w:rFonts w:ascii="Garamond" w:hAnsi="Garamond" w:eastAsia="Times New Roman"/>
                <w:sz w:val="24"/>
                <w:szCs w:val="24"/>
              </w:rPr>
            </w:pPr>
            <w:r>
              <w:rPr>
                <w:rFonts w:ascii="Garamond" w:hAnsi="Garamond" w:eastAsia="Times New Roman"/>
                <w:sz w:val="24"/>
                <w:szCs w:val="24"/>
                <w:lang w:val="en-US"/>
              </w:rPr>
              <w:drawing>
                <wp:inline distT="0" distB="0" distL="0" distR="0">
                  <wp:extent cx="179705" cy="248920"/>
                  <wp:effectExtent l="0" t="0" r="0" b="0"/>
                  <wp:docPr id="19" name="Picture 1" descr="Description: http://www.sfu.ca/fren270/Phonetique/symbols/pfan2.gif">
                    <a:hlinkClick xmlns:a="http://schemas.openxmlformats.org/drawingml/2006/main" r:id="rId36"/>
                  </wp:docPr>
                  <wp:cNvGraphicFramePr/>
                  <a:graphic xmlns:a="http://schemas.openxmlformats.org/drawingml/2006/main">
                    <a:graphicData uri="http://schemas.openxmlformats.org/drawingml/2006/picture">
                      <pic:pic xmlns:pic="http://schemas.openxmlformats.org/drawingml/2006/picture">
                        <pic:nvPicPr>
                          <pic:cNvPr id="19" name="Picture 1" descr="Description: http://www.sfu.ca/fren270/Phonetique/symbols/pfan2.gif"/>
                          <pic:cNvPicPr/>
                        </pic:nvPicPr>
                        <pic:blipFill>
                          <a:blip r:embed="rId37">
                            <a:extLst>
                              <a:ext uri="{28A0092B-C50C-407E-A947-70E740481C1C}">
                                <a14:useLocalDpi xmlns:a14="http://schemas.microsoft.com/office/drawing/2010/main" val="0"/>
                              </a:ext>
                            </a:extLst>
                          </a:blip>
                          <a:srcRect/>
                          <a:stretch>
                            <a:fillRect/>
                          </a:stretch>
                        </pic:blipFill>
                        <pic:spPr>
                          <a:xfrm>
                            <a:off x="0" y="0"/>
                            <a:ext cx="179705" cy="248920"/>
                          </a:xfrm>
                          <a:prstGeom prst="rect">
                            <a:avLst/>
                          </a:prstGeom>
                          <a:noFill/>
                          <a:ln>
                            <a:noFill/>
                          </a:ln>
                        </pic:spPr>
                      </pic:pic>
                    </a:graphicData>
                  </a:graphic>
                </wp:inline>
              </w:drawing>
            </w:r>
          </w:p>
        </w:tc>
        <w:tc>
          <w:tcPr>
            <w:tcW w:w="1193" w:type="dxa"/>
            <w:tcBorders>
              <w:top w:val="outset" w:color="auto" w:sz="6" w:space="0"/>
              <w:left w:val="outset" w:color="auto" w:sz="6" w:space="0"/>
              <w:bottom w:val="outset" w:color="auto" w:sz="6" w:space="0"/>
              <w:right w:val="outset" w:color="auto" w:sz="6" w:space="0"/>
            </w:tcBorders>
            <w:shd w:val="clear" w:color="auto" w:fill="FFFFFF"/>
            <w:vAlign w:val="center"/>
          </w:tcPr>
          <w:p>
            <w:pPr>
              <w:tabs>
                <w:tab w:val="left" w:pos="270"/>
              </w:tabs>
              <w:spacing w:before="100" w:beforeAutospacing="1" w:after="100" w:afterAutospacing="1" w:line="240" w:lineRule="auto"/>
              <w:rPr>
                <w:rFonts w:ascii="Garamond" w:hAnsi="Garamond" w:eastAsia="Times New Roman"/>
                <w:sz w:val="24"/>
                <w:szCs w:val="24"/>
              </w:rPr>
            </w:pPr>
            <w:r>
              <w:rPr>
                <w:rFonts w:ascii="Garamond" w:hAnsi="Garamond" w:eastAsia="Times New Roman"/>
                <w:sz w:val="24"/>
                <w:szCs w:val="24"/>
              </w:rPr>
              <w:t> </w:t>
            </w:r>
          </w:p>
        </w:tc>
      </w:tr>
    </w:tbl>
    <w:p>
      <w:pPr>
        <w:tabs>
          <w:tab w:val="left" w:pos="270"/>
        </w:tabs>
        <w:spacing w:after="0" w:line="360" w:lineRule="auto"/>
        <w:jc w:val="both"/>
        <w:rPr>
          <w:rFonts w:ascii="Garamond" w:hAnsi="Garamond"/>
          <w:sz w:val="24"/>
          <w:szCs w:val="24"/>
        </w:rPr>
      </w:pPr>
    </w:p>
    <w:p>
      <w:pPr>
        <w:tabs>
          <w:tab w:val="left" w:pos="270"/>
        </w:tabs>
        <w:spacing w:after="0" w:line="360" w:lineRule="auto"/>
        <w:jc w:val="both"/>
        <w:rPr>
          <w:rFonts w:ascii="Garamond" w:hAnsi="Garamond"/>
          <w:sz w:val="24"/>
          <w:szCs w:val="24"/>
        </w:rPr>
      </w:pPr>
      <w:r>
        <w:rPr>
          <w:rFonts w:ascii="Garamond" w:hAnsi="Garamond" w:eastAsia="Times New Roman"/>
          <w:b/>
          <w:sz w:val="24"/>
          <w:szCs w:val="24"/>
        </w:rPr>
        <w:tab/>
      </w:r>
      <w:r>
        <w:rPr>
          <w:rFonts w:ascii="Garamond" w:hAnsi="Garamond" w:eastAsia="Times New Roman"/>
          <w:b/>
          <w:sz w:val="24"/>
          <w:szCs w:val="24"/>
        </w:rPr>
        <w:tab/>
      </w:r>
      <w:r>
        <w:rPr>
          <w:rFonts w:ascii="Garamond" w:hAnsi="Garamond" w:eastAsia="Times New Roman"/>
          <w:b/>
          <w:sz w:val="24"/>
          <w:szCs w:val="24"/>
        </w:rPr>
        <w:t>Tableau 4 : Voyelles nasales du français</w:t>
      </w:r>
    </w:p>
    <w:p>
      <w:pPr>
        <w:tabs>
          <w:tab w:val="left" w:pos="270"/>
        </w:tabs>
        <w:spacing w:after="0" w:line="360" w:lineRule="auto"/>
        <w:jc w:val="both"/>
        <w:rPr>
          <w:rFonts w:ascii="Garamond" w:hAnsi="Garamond"/>
          <w:sz w:val="24"/>
          <w:szCs w:val="24"/>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0"/>
        <w:gridCol w:w="1320"/>
        <w:gridCol w:w="1320"/>
        <w:gridCol w:w="1320"/>
        <w:gridCol w:w="1320"/>
        <w:gridCol w:w="1321"/>
        <w:gridCol w:w="1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shd w:val="clear" w:color="auto" w:fill="auto"/>
          </w:tcPr>
          <w:p>
            <w:pPr>
              <w:tabs>
                <w:tab w:val="left" w:pos="270"/>
              </w:tabs>
              <w:spacing w:after="0" w:line="360" w:lineRule="auto"/>
              <w:jc w:val="both"/>
              <w:rPr>
                <w:rFonts w:ascii="Garamond" w:hAnsi="Garamond"/>
                <w:sz w:val="24"/>
                <w:szCs w:val="24"/>
              </w:rPr>
            </w:pPr>
          </w:p>
        </w:tc>
        <w:tc>
          <w:tcPr>
            <w:tcW w:w="3960" w:type="dxa"/>
            <w:gridSpan w:val="3"/>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Orales</w:t>
            </w:r>
          </w:p>
        </w:tc>
        <w:tc>
          <w:tcPr>
            <w:tcW w:w="3962" w:type="dxa"/>
            <w:gridSpan w:val="3"/>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Nasales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shd w:val="clear" w:color="auto" w:fill="auto"/>
          </w:tcPr>
          <w:p>
            <w:pPr>
              <w:tabs>
                <w:tab w:val="left" w:pos="270"/>
              </w:tabs>
              <w:spacing w:after="0" w:line="360" w:lineRule="auto"/>
              <w:jc w:val="both"/>
              <w:rPr>
                <w:rFonts w:ascii="Garamond" w:hAnsi="Garamond"/>
                <w:sz w:val="24"/>
                <w:szCs w:val="24"/>
              </w:rPr>
            </w:pP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antérieure</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centrale</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postérieure</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Antérieure</w:t>
            </w:r>
          </w:p>
        </w:tc>
        <w:tc>
          <w:tcPr>
            <w:tcW w:w="1321"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centrale</w:t>
            </w:r>
          </w:p>
        </w:tc>
        <w:tc>
          <w:tcPr>
            <w:tcW w:w="1321"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postérieure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+haut</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 xml:space="preserve">i   </w:t>
            </w:r>
          </w:p>
        </w:tc>
        <w:tc>
          <w:tcPr>
            <w:tcW w:w="1320" w:type="dxa"/>
            <w:shd w:val="clear" w:color="auto" w:fill="auto"/>
          </w:tcPr>
          <w:p>
            <w:pPr>
              <w:tabs>
                <w:tab w:val="left" w:pos="270"/>
              </w:tabs>
              <w:spacing w:after="0" w:line="360" w:lineRule="auto"/>
              <w:jc w:val="both"/>
              <w:rPr>
                <w:rFonts w:ascii="Garamond" w:hAnsi="Garamond"/>
                <w:sz w:val="24"/>
                <w:szCs w:val="24"/>
              </w:rPr>
            </w:pP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u</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I</w:t>
            </w:r>
          </w:p>
        </w:tc>
        <w:tc>
          <w:tcPr>
            <w:tcW w:w="1321" w:type="dxa"/>
            <w:shd w:val="clear" w:color="auto" w:fill="auto"/>
          </w:tcPr>
          <w:p>
            <w:pPr>
              <w:tabs>
                <w:tab w:val="left" w:pos="270"/>
              </w:tabs>
              <w:spacing w:after="0" w:line="360" w:lineRule="auto"/>
              <w:jc w:val="both"/>
              <w:rPr>
                <w:rFonts w:ascii="Garamond" w:hAnsi="Garamond"/>
                <w:sz w:val="24"/>
                <w:szCs w:val="24"/>
              </w:rPr>
            </w:pPr>
          </w:p>
        </w:tc>
        <w:tc>
          <w:tcPr>
            <w:tcW w:w="1321"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u</w:t>
            </w:r>
            <w:r>
              <w:rPr>
                <w:rFonts w:ascii="Times New Roman" w:hAnsi="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-haut</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e</w:t>
            </w:r>
          </w:p>
        </w:tc>
        <w:tc>
          <w:tcPr>
            <w:tcW w:w="1320" w:type="dxa"/>
            <w:shd w:val="clear" w:color="auto" w:fill="auto"/>
          </w:tcPr>
          <w:p>
            <w:pPr>
              <w:tabs>
                <w:tab w:val="left" w:pos="270"/>
              </w:tabs>
              <w:spacing w:after="0" w:line="360" w:lineRule="auto"/>
              <w:jc w:val="both"/>
              <w:rPr>
                <w:rFonts w:ascii="Garamond" w:hAnsi="Garamond"/>
                <w:sz w:val="24"/>
                <w:szCs w:val="24"/>
              </w:rPr>
            </w:pP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o</w:t>
            </w:r>
          </w:p>
        </w:tc>
        <w:tc>
          <w:tcPr>
            <w:tcW w:w="1320" w:type="dxa"/>
            <w:shd w:val="clear" w:color="auto" w:fill="auto"/>
          </w:tcPr>
          <w:p>
            <w:pPr>
              <w:tabs>
                <w:tab w:val="left" w:pos="270"/>
              </w:tabs>
              <w:spacing w:after="0" w:line="360" w:lineRule="auto"/>
              <w:jc w:val="both"/>
              <w:rPr>
                <w:rFonts w:ascii="Garamond" w:hAnsi="Garamond"/>
                <w:sz w:val="24"/>
                <w:szCs w:val="24"/>
              </w:rPr>
            </w:pPr>
          </w:p>
        </w:tc>
        <w:tc>
          <w:tcPr>
            <w:tcW w:w="1321" w:type="dxa"/>
            <w:shd w:val="clear" w:color="auto" w:fill="auto"/>
          </w:tcPr>
          <w:p>
            <w:pPr>
              <w:tabs>
                <w:tab w:val="left" w:pos="270"/>
              </w:tabs>
              <w:spacing w:after="0" w:line="360" w:lineRule="auto"/>
              <w:jc w:val="both"/>
              <w:rPr>
                <w:rFonts w:ascii="Garamond" w:hAnsi="Garamond"/>
                <w:sz w:val="24"/>
                <w:szCs w:val="24"/>
              </w:rPr>
            </w:pPr>
          </w:p>
        </w:tc>
        <w:tc>
          <w:tcPr>
            <w:tcW w:w="1321" w:type="dxa"/>
            <w:shd w:val="clear" w:color="auto" w:fill="auto"/>
          </w:tcPr>
          <w:p>
            <w:pPr>
              <w:tabs>
                <w:tab w:val="left" w:pos="270"/>
              </w:tabs>
              <w:spacing w:after="0" w:line="360" w:lineRule="auto"/>
              <w:jc w:val="both"/>
              <w:rPr>
                <w:rFonts w:ascii="Garamond" w:hAnsi="Garamond"/>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+bas</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Times New Roman"/>
                <w:sz w:val="24"/>
                <w:szCs w:val="24"/>
              </w:rPr>
              <w:t>ɛ</w:t>
            </w:r>
            <w:r>
              <w:rPr>
                <w:rFonts w:ascii="Garamond" w:hAnsi="Garamond"/>
                <w:sz w:val="24"/>
                <w:szCs w:val="24"/>
              </w:rPr>
              <w:t xml:space="preserve"> </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a</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Times New Roman"/>
                <w:sz w:val="24"/>
                <w:szCs w:val="24"/>
              </w:rPr>
              <w:t>ɔ</w:t>
            </w:r>
          </w:p>
        </w:tc>
        <w:tc>
          <w:tcPr>
            <w:tcW w:w="1320" w:type="dxa"/>
            <w:shd w:val="clear" w:color="auto" w:fill="auto"/>
          </w:tcPr>
          <w:p>
            <w:pPr>
              <w:tabs>
                <w:tab w:val="left" w:pos="270"/>
              </w:tabs>
              <w:spacing w:after="0" w:line="360" w:lineRule="auto"/>
              <w:jc w:val="both"/>
              <w:rPr>
                <w:rFonts w:ascii="Garamond" w:hAnsi="Garamond"/>
                <w:sz w:val="24"/>
                <w:szCs w:val="24"/>
              </w:rPr>
            </w:pPr>
            <w:r>
              <w:rPr>
                <w:rFonts w:ascii="Garamond" w:hAnsi="Times New Roman"/>
                <w:sz w:val="24"/>
                <w:szCs w:val="24"/>
              </w:rPr>
              <w:t>ԑ̃</w:t>
            </w:r>
          </w:p>
        </w:tc>
        <w:tc>
          <w:tcPr>
            <w:tcW w:w="1321"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 xml:space="preserve"> ã</w:t>
            </w:r>
          </w:p>
        </w:tc>
        <w:tc>
          <w:tcPr>
            <w:tcW w:w="1321" w:type="dxa"/>
            <w:shd w:val="clear" w:color="auto" w:fill="auto"/>
          </w:tcPr>
          <w:p>
            <w:pPr>
              <w:tabs>
                <w:tab w:val="left" w:pos="270"/>
              </w:tabs>
              <w:spacing w:after="0" w:line="360" w:lineRule="auto"/>
              <w:jc w:val="both"/>
              <w:rPr>
                <w:rFonts w:ascii="Garamond" w:hAnsi="Garamond"/>
                <w:sz w:val="24"/>
                <w:szCs w:val="24"/>
              </w:rPr>
            </w:pPr>
            <w:r>
              <w:rPr>
                <w:rFonts w:ascii="Garamond" w:hAnsi="Garamond"/>
                <w:sz w:val="24"/>
                <w:szCs w:val="24"/>
              </w:rPr>
              <w:t xml:space="preserve"> </w:t>
            </w:r>
            <w:r>
              <w:rPr>
                <w:rFonts w:ascii="Garamond" w:hAnsi="Times New Roman"/>
                <w:sz w:val="24"/>
                <w:szCs w:val="24"/>
              </w:rPr>
              <w:t>ɔ̃</w:t>
            </w:r>
          </w:p>
        </w:tc>
      </w:tr>
    </w:tbl>
    <w:p>
      <w:pPr>
        <w:tabs>
          <w:tab w:val="left" w:pos="270"/>
        </w:tabs>
        <w:spacing w:after="160" w:line="480" w:lineRule="auto"/>
        <w:jc w:val="both"/>
        <w:rPr>
          <w:rFonts w:ascii="Garamond" w:hAnsi="Garamond"/>
          <w:sz w:val="24"/>
          <w:szCs w:val="24"/>
        </w:rPr>
      </w:pPr>
      <w:r>
        <w:rPr>
          <w:rFonts w:ascii="Garamond" w:hAnsi="Garamond"/>
          <w:b/>
          <w:sz w:val="24"/>
          <w:szCs w:val="24"/>
        </w:rPr>
        <w:tab/>
      </w:r>
      <w:r>
        <w:rPr>
          <w:rFonts w:ascii="Garamond" w:hAnsi="Garamond"/>
          <w:b/>
          <w:sz w:val="24"/>
          <w:szCs w:val="24"/>
        </w:rPr>
        <w:t>Tableau 5</w:t>
      </w:r>
      <w:r>
        <w:rPr>
          <w:rFonts w:ascii="Garamond" w:hAnsi="Garamond"/>
          <w:sz w:val="24"/>
          <w:szCs w:val="24"/>
        </w:rPr>
        <w:t xml:space="preserve">. : </w:t>
      </w:r>
      <w:r>
        <w:rPr>
          <w:rFonts w:ascii="Garamond" w:hAnsi="Garamond"/>
          <w:b/>
          <w:sz w:val="24"/>
          <w:szCs w:val="24"/>
        </w:rPr>
        <w:t xml:space="preserve">Phonèmes vocaliques du </w:t>
      </w:r>
      <w:r>
        <w:rPr>
          <w:rFonts w:ascii="Garamond" w:hAnsi="Garamond"/>
          <w:b/>
          <w:i/>
          <w:sz w:val="24"/>
          <w:szCs w:val="24"/>
        </w:rPr>
        <w:t>Baat</w:t>
      </w:r>
      <w:r>
        <w:rPr>
          <w:rFonts w:ascii="Times New Roman" w:hAnsi="Times New Roman"/>
          <w:b/>
          <w:i/>
          <w:sz w:val="24"/>
          <w:szCs w:val="24"/>
        </w:rPr>
        <w:t>ɔ</w:t>
      </w:r>
      <w:r>
        <w:rPr>
          <w:rFonts w:ascii="Garamond" w:hAnsi="Garamond"/>
          <w:b/>
          <w:i/>
          <w:sz w:val="24"/>
          <w:szCs w:val="24"/>
        </w:rPr>
        <w:t>num</w:t>
      </w:r>
      <w:r>
        <w:rPr>
          <w:rFonts w:ascii="Garamond" w:hAnsi="Garamond"/>
          <w:b/>
          <w:sz w:val="24"/>
          <w:szCs w:val="24"/>
        </w:rPr>
        <w:t xml:space="preserve"> selon Yamaro (2005 :35)</w:t>
      </w:r>
    </w:p>
    <w:p>
      <w:pPr>
        <w:tabs>
          <w:tab w:val="left" w:pos="270"/>
        </w:tabs>
        <w:spacing w:after="0" w:line="480" w:lineRule="auto"/>
        <w:jc w:val="both"/>
        <w:rPr>
          <w:rFonts w:ascii="Garamond" w:hAnsi="Garamond"/>
          <w:sz w:val="24"/>
          <w:szCs w:val="24"/>
        </w:rPr>
      </w:pPr>
      <w:r>
        <w:rPr>
          <w:rFonts w:ascii="Garamond" w:hAnsi="Garamond"/>
          <w:sz w:val="24"/>
          <w:szCs w:val="24"/>
        </w:rPr>
        <w:t xml:space="preserve">Nous avons décidé de comparer les systèmes phonétiques du français, langue source et du </w:t>
      </w:r>
      <w:r>
        <w:rPr>
          <w:rFonts w:ascii="Garamond" w:hAnsi="Garamond"/>
          <w:i/>
          <w:sz w:val="24"/>
          <w:szCs w:val="24"/>
        </w:rPr>
        <w:t>baat</w:t>
      </w:r>
      <w:r>
        <w:rPr>
          <w:rFonts w:ascii="Times New Roman" w:hAnsi="Times New Roman"/>
          <w:i/>
          <w:sz w:val="24"/>
          <w:szCs w:val="24"/>
        </w:rPr>
        <w:t>ɔ</w:t>
      </w:r>
      <w:r>
        <w:rPr>
          <w:rFonts w:ascii="Garamond" w:hAnsi="Garamond"/>
          <w:i/>
          <w:sz w:val="24"/>
          <w:szCs w:val="24"/>
        </w:rPr>
        <w:t xml:space="preserve">num, </w:t>
      </w:r>
      <w:r>
        <w:rPr>
          <w:rFonts w:ascii="Garamond" w:hAnsi="Garamond"/>
          <w:sz w:val="24"/>
          <w:szCs w:val="24"/>
        </w:rPr>
        <w:t>langue réceptrice pour mettre en exergue les zones de similarité et de différence de ces deux systèmes. On observe ainsi qu’il existe un grand écart entre le système phonétique du français et celui du baat</w:t>
      </w:r>
      <w:r>
        <w:rPr>
          <w:rFonts w:ascii="Times New Roman" w:hAnsi="Times New Roman"/>
          <w:sz w:val="24"/>
          <w:szCs w:val="24"/>
        </w:rPr>
        <w:t>ɔ</w:t>
      </w:r>
      <w:r>
        <w:rPr>
          <w:rFonts w:ascii="Garamond" w:hAnsi="Garamond"/>
          <w:sz w:val="24"/>
          <w:szCs w:val="24"/>
        </w:rPr>
        <w:t xml:space="preserve">num. Alors que le français fait partie des langues indo-européennes,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fait partie des langues gur (langues dites voltaïques), sous-groupe des langues nigéro-congolaises ou Congo-Niger. </w:t>
      </w:r>
    </w:p>
    <w:p>
      <w:pPr>
        <w:tabs>
          <w:tab w:val="left" w:pos="270"/>
        </w:tabs>
        <w:spacing w:after="0" w:line="480" w:lineRule="auto"/>
        <w:jc w:val="both"/>
        <w:rPr>
          <w:rFonts w:ascii="Garamond" w:hAnsi="Garamond"/>
          <w:sz w:val="24"/>
          <w:szCs w:val="24"/>
        </w:rPr>
      </w:pPr>
      <w:r>
        <w:rPr>
          <w:rFonts w:ascii="Garamond" w:hAnsi="Garamond"/>
          <w:sz w:val="24"/>
          <w:szCs w:val="24"/>
        </w:rPr>
        <w:t xml:space="preserve">A partir des tableaux 1 et 2 exposants les sons consonantiques du français et du </w:t>
      </w:r>
      <w:r>
        <w:rPr>
          <w:rFonts w:ascii="Garamond" w:hAnsi="Garamond"/>
          <w:i/>
          <w:sz w:val="24"/>
          <w:szCs w:val="24"/>
        </w:rPr>
        <w:t>baat</w:t>
      </w:r>
      <w:r>
        <w:rPr>
          <w:rFonts w:ascii="Times New Roman" w:hAnsi="Times New Roman"/>
          <w:i/>
          <w:sz w:val="24"/>
          <w:szCs w:val="24"/>
        </w:rPr>
        <w:t>ɔ</w:t>
      </w:r>
      <w:r>
        <w:rPr>
          <w:rFonts w:ascii="Garamond" w:hAnsi="Garamond"/>
          <w:i/>
          <w:sz w:val="24"/>
          <w:szCs w:val="24"/>
        </w:rPr>
        <w:t xml:space="preserve">num, </w:t>
      </w:r>
      <w:r>
        <w:rPr>
          <w:rFonts w:ascii="Garamond" w:hAnsi="Garamond"/>
          <w:iCs/>
          <w:sz w:val="24"/>
          <w:szCs w:val="24"/>
        </w:rPr>
        <w:t xml:space="preserve">on observe </w:t>
      </w:r>
      <w:r>
        <w:rPr>
          <w:rFonts w:ascii="Garamond" w:hAnsi="Garamond"/>
          <w:sz w:val="24"/>
          <w:szCs w:val="24"/>
        </w:rPr>
        <w:t>:</w:t>
      </w:r>
    </w:p>
    <w:p>
      <w:pPr>
        <w:pStyle w:val="13"/>
        <w:numPr>
          <w:ilvl w:val="0"/>
          <w:numId w:val="3"/>
        </w:numPr>
        <w:tabs>
          <w:tab w:val="left" w:pos="270"/>
        </w:tabs>
        <w:spacing w:line="480" w:lineRule="auto"/>
        <w:jc w:val="both"/>
        <w:rPr>
          <w:rFonts w:ascii="Garamond" w:hAnsi="Garamond"/>
          <w:sz w:val="24"/>
          <w:szCs w:val="24"/>
        </w:rPr>
      </w:pPr>
      <w:r>
        <w:rPr>
          <w:rFonts w:ascii="Garamond" w:hAnsi="Garamond"/>
          <w:sz w:val="24"/>
          <w:szCs w:val="24"/>
        </w:rPr>
        <w:t xml:space="preserve">qu’il y a seize (16) consonnes en français et quinze (15)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p>
    <w:p>
      <w:pPr>
        <w:pStyle w:val="13"/>
        <w:numPr>
          <w:ilvl w:val="0"/>
          <w:numId w:val="3"/>
        </w:numPr>
        <w:tabs>
          <w:tab w:val="left" w:pos="270"/>
        </w:tabs>
        <w:spacing w:line="480" w:lineRule="auto"/>
        <w:jc w:val="both"/>
        <w:rPr>
          <w:rFonts w:ascii="Garamond" w:hAnsi="Garamond"/>
          <w:sz w:val="24"/>
          <w:szCs w:val="24"/>
        </w:rPr>
      </w:pPr>
      <w:r>
        <w:rPr>
          <w:rFonts w:ascii="Garamond" w:hAnsi="Garamond"/>
          <w:sz w:val="24"/>
          <w:szCs w:val="24"/>
        </w:rPr>
        <w:t xml:space="preserve">qu’il existe des consonnes occlusives et constructives en français et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w:t>
      </w:r>
    </w:p>
    <w:p>
      <w:pPr>
        <w:pStyle w:val="13"/>
        <w:numPr>
          <w:ilvl w:val="0"/>
          <w:numId w:val="3"/>
        </w:numPr>
        <w:tabs>
          <w:tab w:val="left" w:pos="270"/>
        </w:tabs>
        <w:spacing w:line="480" w:lineRule="auto"/>
        <w:jc w:val="both"/>
        <w:rPr>
          <w:rFonts w:ascii="Garamond" w:hAnsi="Garamond"/>
          <w:sz w:val="24"/>
          <w:szCs w:val="24"/>
        </w:rPr>
      </w:pPr>
      <w:r>
        <w:rPr>
          <w:rFonts w:ascii="Garamond" w:hAnsi="Garamond"/>
          <w:sz w:val="24"/>
          <w:szCs w:val="24"/>
        </w:rPr>
        <w:t>que les sons consonantiques fricatifs /v/, /z/, /</w:t>
      </w:r>
      <w:r>
        <w:rPr>
          <w:rFonts w:ascii="Garamond" w:hAnsi="Times New Roman"/>
          <w:sz w:val="24"/>
          <w:szCs w:val="24"/>
        </w:rPr>
        <w:t>ʃ</w:t>
      </w:r>
      <w:r>
        <w:rPr>
          <w:rFonts w:ascii="Garamond" w:hAnsi="Garamond"/>
          <w:sz w:val="24"/>
          <w:szCs w:val="24"/>
        </w:rPr>
        <w:t>/, /</w:t>
      </w:r>
      <w:r>
        <w:rPr>
          <w:rFonts w:ascii="Garamond" w:hAnsi="Times New Roman"/>
          <w:sz w:val="24"/>
          <w:szCs w:val="24"/>
        </w:rPr>
        <w:t>ʒ</w:t>
      </w:r>
      <w:r>
        <w:rPr>
          <w:rFonts w:ascii="Garamond" w:hAnsi="Garamond"/>
          <w:sz w:val="24"/>
          <w:szCs w:val="24"/>
        </w:rPr>
        <w:t xml:space="preserve">/ de la langue française n’existent pas dans la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w:t>
      </w:r>
    </w:p>
    <w:p>
      <w:pPr>
        <w:pStyle w:val="13"/>
        <w:numPr>
          <w:ilvl w:val="0"/>
          <w:numId w:val="3"/>
        </w:numPr>
        <w:tabs>
          <w:tab w:val="left" w:pos="270"/>
        </w:tabs>
        <w:spacing w:line="480" w:lineRule="auto"/>
        <w:jc w:val="both"/>
        <w:rPr>
          <w:rFonts w:ascii="Garamond" w:hAnsi="Garamond"/>
          <w:sz w:val="24"/>
          <w:szCs w:val="24"/>
        </w:rPr>
      </w:pPr>
      <w:r>
        <w:rPr>
          <w:rFonts w:ascii="Garamond" w:hAnsi="Garamond"/>
          <w:sz w:val="24"/>
          <w:szCs w:val="24"/>
        </w:rPr>
        <w:t xml:space="preserve">que les sons occlusifs, labio-vélaires /kp/, /gb/ de la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n’existent pas en français. </w:t>
      </w:r>
    </w:p>
    <w:p>
      <w:pPr>
        <w:pStyle w:val="13"/>
        <w:numPr>
          <w:ilvl w:val="0"/>
          <w:numId w:val="3"/>
        </w:numPr>
        <w:tabs>
          <w:tab w:val="left" w:pos="270"/>
        </w:tabs>
        <w:spacing w:line="480" w:lineRule="auto"/>
        <w:jc w:val="both"/>
        <w:rPr>
          <w:rFonts w:ascii="Garamond" w:hAnsi="Garamond"/>
          <w:sz w:val="24"/>
          <w:szCs w:val="24"/>
        </w:rPr>
      </w:pPr>
      <w:r>
        <w:rPr>
          <w:rFonts w:ascii="Garamond" w:hAnsi="Garamond"/>
          <w:sz w:val="24"/>
          <w:szCs w:val="24"/>
        </w:rPr>
        <w:t xml:space="preserve">qu’il n’existe pas des semi-consonnes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p>
    <w:p>
      <w:pPr>
        <w:tabs>
          <w:tab w:val="left" w:pos="270"/>
        </w:tabs>
        <w:spacing w:after="0" w:line="480" w:lineRule="auto"/>
        <w:jc w:val="both"/>
        <w:rPr>
          <w:rFonts w:ascii="Garamond" w:hAnsi="Garamond"/>
          <w:sz w:val="24"/>
          <w:szCs w:val="24"/>
        </w:rPr>
      </w:pPr>
      <w:r>
        <w:rPr>
          <w:rFonts w:ascii="Garamond" w:hAnsi="Garamond"/>
          <w:sz w:val="24"/>
          <w:szCs w:val="24"/>
        </w:rPr>
        <w:t xml:space="preserve">Le jeu de la comparaison des systèmes phonétiques des deux langues se trouve modifié par l’attitude linguistique du locuteur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selon qu’il s’exprime en français ou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Ainsi, par exemple les phonèmes du français /z/, /</w:t>
      </w:r>
      <w:r>
        <w:rPr>
          <w:rFonts w:ascii="Garamond" w:hAnsi="Times New Roman"/>
          <w:sz w:val="24"/>
          <w:szCs w:val="24"/>
        </w:rPr>
        <w:t>ʒ</w:t>
      </w:r>
      <w:r>
        <w:rPr>
          <w:rFonts w:ascii="Garamond" w:hAnsi="Garamond"/>
          <w:sz w:val="24"/>
          <w:szCs w:val="24"/>
        </w:rPr>
        <w:t xml:space="preserve">/ et /∫/ seront vraisemblablement assimilés au /s/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alors que le [v] français peut correspondre au /f/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On peut donc en conclure que les baatonuphones ramèneront tous les phonèmes qu’ils ne possèdent pas dans leur langue maternelle au seul qu’ils sont habitués à réaliser, à savoir le [s].</w:t>
      </w:r>
    </w:p>
    <w:p>
      <w:pPr>
        <w:tabs>
          <w:tab w:val="left" w:pos="270"/>
        </w:tabs>
        <w:spacing w:after="0" w:line="480" w:lineRule="auto"/>
        <w:jc w:val="both"/>
        <w:rPr>
          <w:rFonts w:ascii="Garamond" w:hAnsi="Garamond"/>
          <w:sz w:val="24"/>
          <w:szCs w:val="24"/>
        </w:rPr>
      </w:pPr>
      <w:r>
        <w:rPr>
          <w:rFonts w:ascii="Garamond" w:hAnsi="Garamond"/>
          <w:sz w:val="24"/>
          <w:szCs w:val="24"/>
        </w:rPr>
        <w:t xml:space="preserve">Un regard aux trois tableaux (3, 4, 5) qui exposent les voyelles du français et du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révèle que :</w:t>
      </w:r>
    </w:p>
    <w:p>
      <w:pPr>
        <w:pStyle w:val="13"/>
        <w:numPr>
          <w:ilvl w:val="0"/>
          <w:numId w:val="4"/>
        </w:numPr>
        <w:tabs>
          <w:tab w:val="left" w:pos="270"/>
        </w:tabs>
        <w:spacing w:line="480" w:lineRule="auto"/>
        <w:jc w:val="both"/>
        <w:rPr>
          <w:rFonts w:ascii="Garamond" w:hAnsi="Garamond"/>
          <w:sz w:val="24"/>
          <w:szCs w:val="24"/>
        </w:rPr>
      </w:pPr>
      <w:r>
        <w:rPr>
          <w:rFonts w:ascii="Garamond" w:hAnsi="Garamond"/>
          <w:sz w:val="24"/>
          <w:szCs w:val="24"/>
        </w:rPr>
        <w:t xml:space="preserve">il existe seize voyelles en français </w:t>
      </w:r>
      <w:r>
        <w:rPr>
          <w:rFonts w:ascii="Garamond" w:hAnsi="Garamond"/>
          <w:iCs/>
          <w:sz w:val="24"/>
          <w:szCs w:val="24"/>
        </w:rPr>
        <w:t xml:space="preserve">et douze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 xml:space="preserve">num. </w:t>
      </w:r>
    </w:p>
    <w:p>
      <w:pPr>
        <w:pStyle w:val="13"/>
        <w:numPr>
          <w:ilvl w:val="0"/>
          <w:numId w:val="4"/>
        </w:numPr>
        <w:tabs>
          <w:tab w:val="left" w:pos="270"/>
        </w:tabs>
        <w:spacing w:line="480" w:lineRule="auto"/>
        <w:jc w:val="both"/>
        <w:rPr>
          <w:rFonts w:ascii="Garamond" w:hAnsi="Garamond"/>
          <w:sz w:val="24"/>
          <w:szCs w:val="24"/>
        </w:rPr>
      </w:pPr>
      <w:r>
        <w:rPr>
          <w:rFonts w:ascii="Garamond" w:hAnsi="Garamond"/>
          <w:sz w:val="24"/>
          <w:szCs w:val="24"/>
        </w:rPr>
        <w:t>les voyelles orales /y/, /</w:t>
      </w:r>
      <w:r>
        <w:rPr>
          <w:rFonts w:ascii="Times New Roman" w:hAnsi="Times New Roman"/>
          <w:sz w:val="24"/>
          <w:szCs w:val="24"/>
        </w:rPr>
        <w:t>ә</w:t>
      </w:r>
      <w:r>
        <w:rPr>
          <w:rFonts w:ascii="Garamond" w:hAnsi="Garamond"/>
          <w:sz w:val="24"/>
          <w:szCs w:val="24"/>
        </w:rPr>
        <w:t>/, /Ø/, /œ/, et nasale / œ</w:t>
      </w:r>
      <w:r>
        <w:rPr>
          <w:rFonts w:ascii="Times New Roman" w:hAnsi="Times New Roman"/>
          <w:sz w:val="24"/>
          <w:szCs w:val="24"/>
        </w:rPr>
        <w:t>̃</w:t>
      </w:r>
      <w:r>
        <w:rPr>
          <w:rFonts w:ascii="Garamond" w:hAnsi="Garamond"/>
          <w:sz w:val="24"/>
          <w:szCs w:val="24"/>
        </w:rPr>
        <w:t xml:space="preserve">/ de la langue française n’existent pas dans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w:t>
      </w:r>
    </w:p>
    <w:p>
      <w:pPr>
        <w:pStyle w:val="13"/>
        <w:numPr>
          <w:ilvl w:val="0"/>
          <w:numId w:val="4"/>
        </w:numPr>
        <w:tabs>
          <w:tab w:val="left" w:pos="270"/>
        </w:tabs>
        <w:spacing w:line="480" w:lineRule="auto"/>
        <w:jc w:val="both"/>
        <w:rPr>
          <w:rFonts w:ascii="Garamond" w:hAnsi="Garamond"/>
          <w:strike/>
          <w:sz w:val="24"/>
          <w:szCs w:val="24"/>
        </w:rPr>
      </w:pPr>
      <w:r>
        <w:rPr>
          <w:rFonts w:ascii="Garamond" w:hAnsi="Garamond"/>
          <w:sz w:val="24"/>
          <w:szCs w:val="24"/>
        </w:rPr>
        <w:t xml:space="preserve">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a cinq voyelles nasales  alors qu’elles sont quatre en français. </w:t>
      </w:r>
    </w:p>
    <w:p>
      <w:pPr>
        <w:pStyle w:val="13"/>
        <w:numPr>
          <w:ilvl w:val="0"/>
          <w:numId w:val="4"/>
        </w:numPr>
        <w:tabs>
          <w:tab w:val="left" w:pos="270"/>
        </w:tabs>
        <w:spacing w:line="480" w:lineRule="auto"/>
        <w:jc w:val="both"/>
        <w:rPr>
          <w:rFonts w:ascii="Garamond" w:hAnsi="Garamond"/>
          <w:sz w:val="24"/>
          <w:szCs w:val="24"/>
        </w:rPr>
      </w:pPr>
      <w:r>
        <w:rPr>
          <w:rFonts w:ascii="Garamond" w:hAnsi="Garamond"/>
          <w:sz w:val="24"/>
          <w:szCs w:val="24"/>
        </w:rPr>
        <w:t>la voyelle nasale /</w:t>
      </w:r>
      <w:r>
        <w:rPr>
          <w:rFonts w:ascii="Garamond" w:hAnsi="Times New Roman"/>
          <w:sz w:val="24"/>
          <w:szCs w:val="24"/>
        </w:rPr>
        <w:t>ԑ̃</w:t>
      </w:r>
      <w:r>
        <w:rPr>
          <w:rFonts w:ascii="Garamond" w:hAnsi="Garamond"/>
          <w:sz w:val="24"/>
          <w:szCs w:val="24"/>
        </w:rPr>
        <w:t xml:space="preserve">/ correspond à des graphèmes « in », « im » en français mais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elle correspond à des graphèmes « </w:t>
      </w:r>
      <w:r>
        <w:rPr>
          <w:rFonts w:ascii="Garamond" w:hAnsi="Times New Roman"/>
          <w:sz w:val="24"/>
          <w:szCs w:val="24"/>
        </w:rPr>
        <w:t>ԑ</w:t>
      </w:r>
      <w:r>
        <w:rPr>
          <w:rFonts w:ascii="Garamond" w:hAnsi="Garamond"/>
          <w:sz w:val="24"/>
          <w:szCs w:val="24"/>
        </w:rPr>
        <w:t>n ».</w:t>
      </w:r>
    </w:p>
    <w:p>
      <w:pPr>
        <w:tabs>
          <w:tab w:val="left" w:pos="270"/>
        </w:tabs>
        <w:spacing w:after="0" w:line="360" w:lineRule="auto"/>
        <w:rPr>
          <w:rFonts w:ascii="Garamond" w:hAnsi="Garamond"/>
          <w:b/>
          <w:sz w:val="24"/>
          <w:szCs w:val="24"/>
        </w:rPr>
      </w:pPr>
    </w:p>
    <w:p>
      <w:pPr>
        <w:tabs>
          <w:tab w:val="left" w:pos="270"/>
        </w:tabs>
        <w:spacing w:after="0" w:line="360" w:lineRule="auto"/>
        <w:rPr>
          <w:rFonts w:ascii="Garamond" w:hAnsi="Garamond"/>
          <w:b/>
          <w:sz w:val="24"/>
          <w:szCs w:val="24"/>
        </w:rPr>
      </w:pPr>
      <w:r>
        <w:rPr>
          <w:rFonts w:ascii="Garamond" w:hAnsi="Garamond"/>
          <w:b/>
          <w:sz w:val="24"/>
          <w:szCs w:val="24"/>
        </w:rPr>
        <w:t>Processus d’adaptation phonétique</w:t>
      </w:r>
    </w:p>
    <w:p>
      <w:pPr>
        <w:tabs>
          <w:tab w:val="left" w:pos="180"/>
          <w:tab w:val="left" w:pos="270"/>
        </w:tabs>
        <w:spacing w:line="480" w:lineRule="auto"/>
        <w:jc w:val="both"/>
        <w:rPr>
          <w:rFonts w:ascii="Garamond" w:hAnsi="Garamond"/>
          <w:sz w:val="24"/>
          <w:szCs w:val="24"/>
        </w:rPr>
      </w:pPr>
      <w:r>
        <w:rPr>
          <w:rFonts w:ascii="Garamond" w:hAnsi="Garamond"/>
          <w:sz w:val="24"/>
          <w:szCs w:val="24"/>
        </w:rPr>
        <w:t xml:space="preserve">Un processus d'adaptation est la méthode qu'une langue utilise pour adapter un mot emprunté de sa phonétique native originale à un système phonétique de la langue réceptrice. Phonétiquement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utilise trois stratégies principales pour adapter un emprunt :  la réduction, l’allongement et la substitution.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ces trois stratégies sont les plus couramment appliquées lorsque des compensations doivent être faites pour adapter un emprunt français qui contient des phonèmes français étrangers à la phonétique </w:t>
      </w:r>
      <w:r>
        <w:rPr>
          <w:rFonts w:ascii="Garamond" w:hAnsi="Garamond"/>
          <w:i/>
          <w:sz w:val="24"/>
          <w:szCs w:val="24"/>
        </w:rPr>
        <w:t>baatonu</w:t>
      </w:r>
      <w:r>
        <w:rPr>
          <w:rFonts w:ascii="Garamond" w:hAnsi="Garamond"/>
          <w:sz w:val="24"/>
          <w:szCs w:val="24"/>
        </w:rPr>
        <w:t>.</w:t>
      </w:r>
    </w:p>
    <w:p>
      <w:pPr>
        <w:tabs>
          <w:tab w:val="left" w:pos="180"/>
          <w:tab w:val="left" w:pos="270"/>
        </w:tabs>
        <w:spacing w:after="0" w:line="480" w:lineRule="auto"/>
        <w:jc w:val="both"/>
        <w:rPr>
          <w:rFonts w:ascii="Garamond" w:hAnsi="Garamond"/>
          <w:sz w:val="24"/>
          <w:szCs w:val="24"/>
        </w:rPr>
      </w:pPr>
      <w:r>
        <w:rPr>
          <w:rFonts w:ascii="Garamond" w:hAnsi="Garamond"/>
          <w:sz w:val="24"/>
          <w:szCs w:val="24"/>
        </w:rPr>
        <w:t xml:space="preserve">Suivant Deroy (1956 : 237), voici quelques cas d’adaptations phonétiques observés avec les emprunts de source française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 la n</w:t>
      </w:r>
      <w:r>
        <w:rPr>
          <w:rFonts w:ascii="Garamond" w:hAnsi="Garamond"/>
          <w:iCs/>
          <w:sz w:val="24"/>
          <w:szCs w:val="24"/>
        </w:rPr>
        <w:t>égligence les phonèmes inconnus ou imprononçables, la substitution des phonèmes usuels, et l’introduction des phonèmes nouveaux pour donner au mot un air familier.</w:t>
      </w:r>
    </w:p>
    <w:p>
      <w:pPr>
        <w:numPr>
          <w:ilvl w:val="0"/>
          <w:numId w:val="5"/>
        </w:numPr>
        <w:tabs>
          <w:tab w:val="left" w:pos="180"/>
          <w:tab w:val="left" w:pos="270"/>
        </w:tabs>
        <w:spacing w:after="0" w:line="480" w:lineRule="auto"/>
        <w:jc w:val="both"/>
        <w:rPr>
          <w:rFonts w:ascii="Garamond" w:hAnsi="Garamond"/>
          <w:sz w:val="24"/>
          <w:szCs w:val="24"/>
        </w:rPr>
      </w:pPr>
      <w:r>
        <w:rPr>
          <w:rFonts w:ascii="Garamond" w:hAnsi="Garamond"/>
          <w:b/>
          <w:sz w:val="24"/>
          <w:szCs w:val="24"/>
        </w:rPr>
        <w:t xml:space="preserve">La </w:t>
      </w:r>
      <w:r>
        <w:rPr>
          <w:rFonts w:ascii="Garamond" w:hAnsi="Garamond"/>
          <w:b/>
          <w:bCs/>
          <w:sz w:val="24"/>
          <w:szCs w:val="24"/>
        </w:rPr>
        <w:t>n</w:t>
      </w:r>
      <w:r>
        <w:rPr>
          <w:rFonts w:ascii="Garamond" w:hAnsi="Garamond"/>
          <w:b/>
          <w:bCs/>
          <w:iCs/>
          <w:sz w:val="24"/>
          <w:szCs w:val="24"/>
        </w:rPr>
        <w:t>égligence les phonèmes inconnus ou imprononçables</w:t>
      </w:r>
      <w:r>
        <w:rPr>
          <w:rFonts w:ascii="Garamond" w:hAnsi="Garamond"/>
          <w:sz w:val="24"/>
          <w:szCs w:val="24"/>
        </w:rPr>
        <w:t xml:space="preserve"> </w:t>
      </w:r>
    </w:p>
    <w:p>
      <w:pPr>
        <w:spacing w:line="480" w:lineRule="auto"/>
        <w:jc w:val="both"/>
        <w:rPr>
          <w:rFonts w:ascii="Garamond" w:hAnsi="Garamond"/>
          <w:sz w:val="24"/>
          <w:szCs w:val="24"/>
        </w:rPr>
      </w:pPr>
      <w:r>
        <w:rPr>
          <w:rFonts w:ascii="Garamond" w:hAnsi="Garamond"/>
          <w:sz w:val="24"/>
          <w:szCs w:val="24"/>
        </w:rPr>
        <w:t xml:space="preserve">La négligence est le processus d'adaptation consistant à supprimer complètement un son qui rend un mot trop difficile à prononcer. Le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a emprunté les mots français, mais les locuteurs natifs du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ont du mal à les prononcer correctement en raison du groupement de consonnes qui appariaient au début, au milieu ou à la fin du mot. Par exemple, en utilisant le processus de réduction, les locuteurs </w:t>
      </w:r>
      <w:r>
        <w:rPr>
          <w:rFonts w:ascii="Garamond" w:hAnsi="Garamond"/>
          <w:i/>
          <w:sz w:val="24"/>
          <w:szCs w:val="24"/>
        </w:rPr>
        <w:t>baatonu</w:t>
      </w:r>
      <w:r>
        <w:rPr>
          <w:rFonts w:ascii="Garamond" w:hAnsi="Garamond"/>
          <w:sz w:val="24"/>
          <w:szCs w:val="24"/>
        </w:rPr>
        <w:t xml:space="preserve"> adaptent la prononciation originale [hectare] à [</w:t>
      </w:r>
      <w:r>
        <w:rPr>
          <w:rFonts w:ascii="Garamond" w:hAnsi="Garamond" w:eastAsia="Times New Roman"/>
          <w:sz w:val="24"/>
          <w:szCs w:val="24"/>
          <w:lang w:eastAsia="fr-FR"/>
        </w:rPr>
        <w:t>h</w:t>
      </w:r>
      <w:r>
        <w:rPr>
          <w:rFonts w:ascii="Times New Roman" w:hAnsi="Times New Roman" w:eastAsia="Times New Roman"/>
          <w:sz w:val="24"/>
          <w:szCs w:val="24"/>
          <w:lang w:eastAsia="fr-FR"/>
        </w:rPr>
        <w:t>ԑ</w:t>
      </w:r>
      <w:r>
        <w:rPr>
          <w:rFonts w:ascii="Garamond" w:hAnsi="Garamond" w:eastAsia="Times New Roman"/>
          <w:sz w:val="24"/>
          <w:szCs w:val="24"/>
          <w:lang w:eastAsia="fr-FR"/>
        </w:rPr>
        <w:t>ta</w:t>
      </w:r>
      <w:r>
        <w:rPr>
          <w:rFonts w:ascii="Garamond" w:hAnsi="Garamond"/>
          <w:sz w:val="24"/>
          <w:szCs w:val="24"/>
        </w:rPr>
        <w:t xml:space="preserve">] en supprimant complètement le /k/. Cette réduction permet l'élimination d'un groupe de consonnes, se conformant ainsi à l'allocation de structure syllabique </w:t>
      </w:r>
      <w:r>
        <w:rPr>
          <w:rFonts w:ascii="Garamond" w:hAnsi="Garamond"/>
          <w:i/>
          <w:sz w:val="24"/>
          <w:szCs w:val="24"/>
        </w:rPr>
        <w:t>baatonu</w:t>
      </w:r>
      <w:r>
        <w:rPr>
          <w:rFonts w:ascii="Garamond" w:hAnsi="Garamond"/>
          <w:sz w:val="24"/>
          <w:szCs w:val="24"/>
        </w:rPr>
        <w:t xml:space="preserve"> établie. Voici quelques exemples :</w:t>
      </w:r>
    </w:p>
    <w:p>
      <w:pPr>
        <w:numPr>
          <w:ilvl w:val="0"/>
          <w:numId w:val="6"/>
        </w:numPr>
        <w:tabs>
          <w:tab w:val="left" w:pos="180"/>
          <w:tab w:val="left" w:pos="270"/>
        </w:tabs>
        <w:spacing w:after="0" w:line="480" w:lineRule="auto"/>
        <w:jc w:val="both"/>
        <w:rPr>
          <w:rFonts w:ascii="Garamond" w:hAnsi="Garamond"/>
          <w:sz w:val="24"/>
          <w:szCs w:val="24"/>
        </w:rPr>
      </w:pPr>
      <w:r>
        <w:rPr>
          <w:rFonts w:ascii="Garamond" w:hAnsi="Garamond"/>
          <w:sz w:val="24"/>
          <w:szCs w:val="24"/>
        </w:rPr>
        <w:t>ressort /R</w:t>
      </w:r>
      <w:r>
        <w:rPr>
          <w:rFonts w:ascii="Times New Roman" w:hAnsi="Times New Roman"/>
          <w:sz w:val="24"/>
          <w:szCs w:val="24"/>
        </w:rPr>
        <w:t>ә</w:t>
      </w:r>
      <w:r>
        <w:rPr>
          <w:rFonts w:ascii="Garamond" w:hAnsi="Garamond"/>
          <w:sz w:val="24"/>
          <w:szCs w:val="24"/>
        </w:rPr>
        <w:t>s</w:t>
      </w:r>
      <w:r>
        <w:rPr>
          <w:rFonts w:ascii="Garamond" w:hAnsi="Times New Roman"/>
          <w:sz w:val="24"/>
          <w:szCs w:val="24"/>
        </w:rPr>
        <w:t>ɔ</w:t>
      </w:r>
      <w:r>
        <w:rPr>
          <w:rFonts w:ascii="Garamond" w:hAnsi="Garamond"/>
          <w:sz w:val="24"/>
          <w:szCs w:val="24"/>
        </w:rPr>
        <w:t xml:space="preserve">R / (fr.)     &gt;         </w:t>
      </w:r>
      <w:r>
        <w:rPr>
          <w:rFonts w:ascii="Garamond" w:hAnsi="Garamond"/>
          <w:i/>
          <w:sz w:val="24"/>
          <w:szCs w:val="24"/>
        </w:rPr>
        <w:t>s</w:t>
      </w:r>
      <w:r>
        <w:rPr>
          <w:rFonts w:ascii="Garamond" w:hAnsi="Times New Roman"/>
          <w:i/>
          <w:sz w:val="24"/>
          <w:szCs w:val="24"/>
        </w:rPr>
        <w:t>ɔɔ</w:t>
      </w:r>
      <w:r>
        <w:rPr>
          <w:rFonts w:ascii="Garamond" w:hAnsi="Garamond"/>
          <w:i/>
          <w:sz w:val="24"/>
          <w:szCs w:val="24"/>
        </w:rPr>
        <w:t>ru</w:t>
      </w:r>
      <w:r>
        <w:rPr>
          <w:rFonts w:ascii="Garamond" w:hAnsi="Garamond"/>
          <w:sz w:val="24"/>
          <w:szCs w:val="24"/>
        </w:rPr>
        <w:t xml:space="preserve"> /s</w:t>
      </w:r>
      <w:r>
        <w:rPr>
          <w:rFonts w:ascii="Garamond" w:hAnsi="Times New Roman"/>
          <w:sz w:val="24"/>
          <w:szCs w:val="24"/>
        </w:rPr>
        <w:t>ɔ</w:t>
      </w:r>
      <w:r>
        <w:rPr>
          <w:rFonts w:ascii="Garamond" w:hAnsi="Garamond"/>
          <w:sz w:val="24"/>
          <w:szCs w:val="24"/>
        </w:rPr>
        <w:t>:Ru/ (baat.). (chute des phonèmes /R</w:t>
      </w:r>
      <w:r>
        <w:rPr>
          <w:rFonts w:ascii="Times New Roman" w:hAnsi="Times New Roman"/>
          <w:sz w:val="24"/>
          <w:szCs w:val="24"/>
        </w:rPr>
        <w:t>ә</w:t>
      </w:r>
      <w:r>
        <w:rPr>
          <w:rFonts w:ascii="Garamond" w:hAnsi="Garamond"/>
          <w:sz w:val="24"/>
          <w:szCs w:val="24"/>
        </w:rPr>
        <w:t>/)</w:t>
      </w:r>
    </w:p>
    <w:p>
      <w:pPr>
        <w:numPr>
          <w:ilvl w:val="0"/>
          <w:numId w:val="6"/>
        </w:numPr>
        <w:tabs>
          <w:tab w:val="left" w:pos="180"/>
          <w:tab w:val="left" w:pos="270"/>
        </w:tabs>
        <w:spacing w:after="0" w:line="480" w:lineRule="auto"/>
        <w:jc w:val="both"/>
        <w:rPr>
          <w:rFonts w:ascii="Garamond" w:hAnsi="Garamond"/>
          <w:sz w:val="24"/>
          <w:szCs w:val="24"/>
        </w:rPr>
      </w:pPr>
      <w:r>
        <w:rPr>
          <w:rFonts w:ascii="Garamond" w:hAnsi="Garamond"/>
          <w:sz w:val="24"/>
          <w:szCs w:val="24"/>
        </w:rPr>
        <w:t>bandage /ba</w:t>
      </w:r>
      <w:r>
        <w:rPr>
          <w:rFonts w:ascii="Times New Roman" w:hAnsi="Times New Roman"/>
          <w:sz w:val="24"/>
          <w:szCs w:val="24"/>
        </w:rPr>
        <w:t>̃</w:t>
      </w:r>
      <w:r>
        <w:rPr>
          <w:rFonts w:ascii="Garamond" w:hAnsi="Garamond"/>
          <w:sz w:val="24"/>
          <w:szCs w:val="24"/>
        </w:rPr>
        <w:t>da</w:t>
      </w:r>
      <w:r>
        <w:rPr>
          <w:rFonts w:ascii="Garamond" w:hAnsi="Times New Roman"/>
          <w:sz w:val="24"/>
          <w:szCs w:val="24"/>
        </w:rPr>
        <w:t>ʒ</w:t>
      </w:r>
      <w:r>
        <w:rPr>
          <w:rFonts w:ascii="Garamond" w:hAnsi="Garamond"/>
          <w:sz w:val="24"/>
          <w:szCs w:val="24"/>
        </w:rPr>
        <w:t xml:space="preserve">/ (fr)       &gt;    </w:t>
      </w:r>
      <w:r>
        <w:rPr>
          <w:rFonts w:ascii="Garamond" w:hAnsi="Garamond"/>
          <w:i/>
          <w:sz w:val="24"/>
          <w:szCs w:val="24"/>
        </w:rPr>
        <w:t>banda</w:t>
      </w:r>
      <w:r>
        <w:rPr>
          <w:rFonts w:ascii="Garamond" w:hAnsi="Garamond"/>
          <w:sz w:val="24"/>
          <w:szCs w:val="24"/>
        </w:rPr>
        <w:t xml:space="preserve"> /ba</w:t>
      </w:r>
      <w:r>
        <w:rPr>
          <w:rFonts w:ascii="Times New Roman" w:hAnsi="Times New Roman"/>
          <w:sz w:val="24"/>
          <w:szCs w:val="24"/>
        </w:rPr>
        <w:t>̃</w:t>
      </w:r>
      <w:r>
        <w:rPr>
          <w:rFonts w:ascii="Garamond" w:hAnsi="Garamond"/>
          <w:sz w:val="24"/>
          <w:szCs w:val="24"/>
        </w:rPr>
        <w:t>da/ (baat) (chute du phoneme /</w:t>
      </w:r>
      <w:r>
        <w:rPr>
          <w:rFonts w:ascii="Garamond" w:hAnsi="Times New Roman"/>
          <w:sz w:val="24"/>
          <w:szCs w:val="24"/>
        </w:rPr>
        <w:t>ʒ</w:t>
      </w:r>
      <w:r>
        <w:rPr>
          <w:rFonts w:ascii="Garamond" w:hAnsi="Garamond"/>
          <w:sz w:val="24"/>
          <w:szCs w:val="24"/>
        </w:rPr>
        <w:t>/)</w:t>
      </w:r>
    </w:p>
    <w:p>
      <w:pPr>
        <w:numPr>
          <w:ilvl w:val="0"/>
          <w:numId w:val="6"/>
        </w:numPr>
        <w:tabs>
          <w:tab w:val="left" w:pos="180"/>
          <w:tab w:val="left" w:pos="270"/>
        </w:tabs>
        <w:spacing w:after="0" w:line="480" w:lineRule="auto"/>
        <w:jc w:val="both"/>
        <w:rPr>
          <w:rFonts w:ascii="Garamond" w:hAnsi="Garamond"/>
          <w:sz w:val="24"/>
          <w:szCs w:val="24"/>
        </w:rPr>
      </w:pPr>
      <w:r>
        <w:rPr>
          <w:rFonts w:ascii="Garamond" w:hAnsi="Garamond"/>
          <w:sz w:val="24"/>
          <w:szCs w:val="24"/>
        </w:rPr>
        <w:t>gardien /gaRdj</w:t>
      </w:r>
      <w:r>
        <w:rPr>
          <w:rFonts w:ascii="Garamond" w:hAnsi="Times New Roman"/>
          <w:sz w:val="24"/>
          <w:szCs w:val="24"/>
        </w:rPr>
        <w:t>ԑ̃</w:t>
      </w:r>
      <w:r>
        <w:rPr>
          <w:rFonts w:ascii="Garamond" w:hAnsi="Garamond"/>
          <w:sz w:val="24"/>
          <w:szCs w:val="24"/>
        </w:rPr>
        <w:t xml:space="preserve">/ (fr.)    &gt;   </w:t>
      </w:r>
      <w:r>
        <w:rPr>
          <w:rFonts w:ascii="Garamond" w:hAnsi="Garamond"/>
          <w:i/>
          <w:sz w:val="24"/>
          <w:szCs w:val="24"/>
        </w:rPr>
        <w:t>gadi</w:t>
      </w:r>
      <w:r>
        <w:rPr>
          <w:rFonts w:ascii="Garamond" w:hAnsi="Times New Roman"/>
          <w:i/>
          <w:sz w:val="24"/>
          <w:szCs w:val="24"/>
        </w:rPr>
        <w:t>ԑ</w:t>
      </w:r>
      <w:r>
        <w:rPr>
          <w:rFonts w:ascii="Garamond" w:hAnsi="Garamond"/>
          <w:i/>
          <w:sz w:val="24"/>
          <w:szCs w:val="24"/>
        </w:rPr>
        <w:t>n</w:t>
      </w:r>
      <w:r>
        <w:rPr>
          <w:rFonts w:ascii="Garamond" w:hAnsi="Garamond"/>
          <w:sz w:val="24"/>
          <w:szCs w:val="24"/>
        </w:rPr>
        <w:t xml:space="preserve"> /gadi</w:t>
      </w:r>
      <w:r>
        <w:rPr>
          <w:rFonts w:ascii="Garamond" w:hAnsi="Times New Roman"/>
          <w:sz w:val="24"/>
          <w:szCs w:val="24"/>
        </w:rPr>
        <w:t>ԑ̃</w:t>
      </w:r>
      <w:r>
        <w:rPr>
          <w:rFonts w:ascii="Garamond" w:hAnsi="Garamond"/>
          <w:sz w:val="24"/>
          <w:szCs w:val="24"/>
        </w:rPr>
        <w:t>/ (baat.) (chute du phonème /R/)</w:t>
      </w:r>
    </w:p>
    <w:p>
      <w:pPr>
        <w:numPr>
          <w:ilvl w:val="0"/>
          <w:numId w:val="6"/>
        </w:numPr>
        <w:tabs>
          <w:tab w:val="left" w:pos="180"/>
          <w:tab w:val="left" w:pos="270"/>
        </w:tabs>
        <w:spacing w:after="0" w:line="480" w:lineRule="auto"/>
        <w:jc w:val="both"/>
        <w:rPr>
          <w:rFonts w:ascii="Garamond" w:hAnsi="Garamond"/>
          <w:sz w:val="24"/>
          <w:szCs w:val="24"/>
        </w:rPr>
      </w:pPr>
      <w:r>
        <w:rPr>
          <w:rFonts w:ascii="Garamond" w:hAnsi="Garamond"/>
          <w:sz w:val="24"/>
          <w:szCs w:val="24"/>
        </w:rPr>
        <w:t xml:space="preserve">arbitre /aRbitR/ (fr.)       &gt;        </w:t>
      </w:r>
      <w:r>
        <w:rPr>
          <w:rFonts w:ascii="Garamond" w:hAnsi="Garamond"/>
          <w:i/>
          <w:sz w:val="24"/>
          <w:szCs w:val="24"/>
        </w:rPr>
        <w:t>abiti</w:t>
      </w:r>
      <w:r>
        <w:rPr>
          <w:rFonts w:ascii="Garamond" w:hAnsi="Garamond"/>
          <w:sz w:val="24"/>
          <w:szCs w:val="24"/>
        </w:rPr>
        <w:t xml:space="preserve"> /abiti/ (baat.) (chute du phonème /R/</w:t>
      </w:r>
    </w:p>
    <w:p>
      <w:pPr>
        <w:pStyle w:val="33"/>
        <w:numPr>
          <w:ilvl w:val="0"/>
          <w:numId w:val="5"/>
        </w:numPr>
        <w:spacing w:line="480" w:lineRule="auto"/>
        <w:jc w:val="both"/>
        <w:rPr>
          <w:rFonts w:ascii="Garamond" w:hAnsi="Garamond"/>
          <w:sz w:val="24"/>
          <w:szCs w:val="24"/>
        </w:rPr>
      </w:pPr>
      <w:r>
        <w:rPr>
          <w:rFonts w:ascii="Garamond" w:hAnsi="Garamond"/>
          <w:b/>
          <w:sz w:val="24"/>
          <w:szCs w:val="24"/>
        </w:rPr>
        <w:t>La substitution</w:t>
      </w:r>
      <w:r>
        <w:rPr>
          <w:rFonts w:ascii="Garamond" w:hAnsi="Garamond"/>
          <w:sz w:val="24"/>
          <w:szCs w:val="24"/>
        </w:rPr>
        <w:t xml:space="preserve">: </w:t>
      </w:r>
    </w:p>
    <w:p>
      <w:pPr>
        <w:spacing w:line="480" w:lineRule="auto"/>
        <w:jc w:val="both"/>
        <w:rPr>
          <w:rFonts w:ascii="Garamond" w:hAnsi="Garamond"/>
          <w:sz w:val="24"/>
          <w:szCs w:val="24"/>
        </w:rPr>
      </w:pPr>
      <w:r>
        <w:rPr>
          <w:rFonts w:ascii="Garamond" w:hAnsi="Garamond"/>
          <w:sz w:val="24"/>
          <w:szCs w:val="24"/>
        </w:rPr>
        <w:t>C’est le processus d'adaptation qu'une langue utilise en substituant un phonème à un autre phonème plus familier. Par exemple, l’emprunt français « chauffeur », /</w:t>
      </w:r>
      <w:r>
        <w:rPr>
          <w:rFonts w:ascii="Garamond" w:hAnsi="Times New Roman"/>
          <w:sz w:val="24"/>
          <w:szCs w:val="24"/>
        </w:rPr>
        <w:t>ʃ</w:t>
      </w:r>
      <w:r>
        <w:rPr>
          <w:rFonts w:ascii="Garamond" w:hAnsi="Garamond"/>
          <w:sz w:val="24"/>
          <w:szCs w:val="24"/>
        </w:rPr>
        <w:t>of</w:t>
      </w:r>
      <w:r>
        <w:rPr>
          <w:rFonts w:ascii="Garamond" w:hAnsi="Garamond"/>
          <w:b/>
          <w:sz w:val="24"/>
          <w:szCs w:val="24"/>
        </w:rPr>
        <w:t>œ</w:t>
      </w:r>
      <w:r>
        <w:rPr>
          <w:rFonts w:ascii="Garamond" w:hAnsi="Garamond"/>
          <w:sz w:val="24"/>
          <w:szCs w:val="24"/>
        </w:rPr>
        <w:t xml:space="preserve">R/, est prononcé par des locuteurs de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comme  comme /</w:t>
      </w:r>
      <w:r>
        <w:rPr>
          <w:rFonts w:ascii="Garamond" w:hAnsi="Garamond"/>
          <w:i/>
          <w:sz w:val="24"/>
          <w:szCs w:val="24"/>
        </w:rPr>
        <w:t>suf</w:t>
      </w:r>
      <w:r>
        <w:rPr>
          <w:rFonts w:ascii="Garamond" w:hAnsi="Times New Roman"/>
          <w:i/>
          <w:sz w:val="24"/>
          <w:szCs w:val="24"/>
        </w:rPr>
        <w:t>ɛ</w:t>
      </w:r>
      <w:r>
        <w:rPr>
          <w:rFonts w:ascii="Garamond" w:hAnsi="Garamond"/>
          <w:i/>
          <w:sz w:val="24"/>
          <w:szCs w:val="24"/>
        </w:rPr>
        <w:t>:</w:t>
      </w:r>
      <w:r>
        <w:rPr>
          <w:rFonts w:ascii="Garamond" w:hAnsi="Garamond"/>
          <w:sz w:val="24"/>
          <w:szCs w:val="24"/>
        </w:rPr>
        <w:t>/. De plus, puisque /</w:t>
      </w:r>
      <w:r>
        <w:rPr>
          <w:rFonts w:ascii="Garamond" w:hAnsi="Times New Roman"/>
          <w:sz w:val="24"/>
          <w:szCs w:val="24"/>
        </w:rPr>
        <w:t>ʃ</w:t>
      </w:r>
      <w:r>
        <w:rPr>
          <w:rFonts w:ascii="Garamond" w:hAnsi="Garamond"/>
          <w:sz w:val="24"/>
          <w:szCs w:val="24"/>
        </w:rPr>
        <w:t>/ n'existe pas dans la phonologie Baatonu, les locuteurs  baatonu substituent l'inconnu /</w:t>
      </w:r>
      <w:r>
        <w:rPr>
          <w:rFonts w:ascii="Garamond" w:hAnsi="Times New Roman"/>
          <w:sz w:val="24"/>
          <w:szCs w:val="24"/>
        </w:rPr>
        <w:t>ʃ</w:t>
      </w:r>
      <w:r>
        <w:rPr>
          <w:rFonts w:ascii="Garamond" w:hAnsi="Garamond"/>
          <w:sz w:val="24"/>
          <w:szCs w:val="24"/>
        </w:rPr>
        <w:t xml:space="preserve">/ au plus familier /s/.  Il y a aussi la substitution du phonème inconnu en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/œ/ au plus familier</w:t>
      </w:r>
      <w:r>
        <w:rPr>
          <w:rFonts w:ascii="Garamond" w:hAnsi="Garamond"/>
          <w:b/>
          <w:sz w:val="24"/>
          <w:szCs w:val="24"/>
        </w:rPr>
        <w:t xml:space="preserve"> /</w:t>
      </w:r>
      <w:r>
        <w:rPr>
          <w:rFonts w:ascii="Garamond" w:hAnsi="Times New Roman"/>
          <w:i/>
          <w:sz w:val="24"/>
          <w:szCs w:val="24"/>
        </w:rPr>
        <w:t>ɛ</w:t>
      </w:r>
      <w:r>
        <w:rPr>
          <w:rFonts w:ascii="Garamond" w:hAnsi="Garamond"/>
          <w:i/>
          <w:sz w:val="24"/>
          <w:szCs w:val="24"/>
        </w:rPr>
        <w:t xml:space="preserve">/. </w:t>
      </w:r>
      <w:r>
        <w:rPr>
          <w:rFonts w:ascii="Garamond" w:hAnsi="Garamond"/>
          <w:sz w:val="24"/>
          <w:szCs w:val="24"/>
        </w:rPr>
        <w:t>Ainsi, plutôt que de prononcer « tailleur » comme / taj</w:t>
      </w:r>
      <w:r>
        <w:rPr>
          <w:rFonts w:ascii="Garamond" w:hAnsi="Garamond"/>
          <w:b/>
          <w:sz w:val="24"/>
          <w:szCs w:val="24"/>
        </w:rPr>
        <w:t>œ</w:t>
      </w:r>
      <w:r>
        <w:rPr>
          <w:rFonts w:ascii="Garamond" w:hAnsi="Garamond"/>
          <w:sz w:val="24"/>
          <w:szCs w:val="24"/>
        </w:rPr>
        <w:t>R /, les locuteurs  baatonu le prononceront comme /</w:t>
      </w:r>
      <w:r>
        <w:rPr>
          <w:rFonts w:ascii="Garamond" w:hAnsi="Garamond"/>
          <w:i/>
          <w:sz w:val="24"/>
          <w:szCs w:val="24"/>
        </w:rPr>
        <w:t>taj</w:t>
      </w:r>
      <w:r>
        <w:rPr>
          <w:rFonts w:ascii="Garamond" w:hAnsi="Times New Roman"/>
          <w:i/>
          <w:sz w:val="24"/>
          <w:szCs w:val="24"/>
        </w:rPr>
        <w:t>ɛ</w:t>
      </w:r>
      <w:r>
        <w:rPr>
          <w:rFonts w:ascii="Garamond" w:hAnsi="Garamond"/>
          <w:sz w:val="24"/>
          <w:szCs w:val="24"/>
        </w:rPr>
        <w:t>/.</w:t>
      </w:r>
    </w:p>
    <w:p>
      <w:pPr>
        <w:pStyle w:val="33"/>
        <w:numPr>
          <w:ilvl w:val="0"/>
          <w:numId w:val="6"/>
        </w:numPr>
        <w:tabs>
          <w:tab w:val="left" w:pos="270"/>
          <w:tab w:val="left" w:pos="450"/>
          <w:tab w:val="left" w:pos="540"/>
        </w:tabs>
        <w:spacing w:after="0" w:line="480" w:lineRule="auto"/>
        <w:jc w:val="both"/>
        <w:rPr>
          <w:rFonts w:ascii="Garamond" w:hAnsi="Garamond"/>
          <w:sz w:val="24"/>
          <w:szCs w:val="24"/>
        </w:rPr>
      </w:pPr>
      <w:r>
        <w:rPr>
          <w:rFonts w:ascii="Garamond" w:hAnsi="Garamond"/>
          <w:sz w:val="24"/>
          <w:szCs w:val="24"/>
          <w:lang w:val="fr-FR"/>
        </w:rPr>
        <w:t>Les phonèmes /y/, /œ/, /ø/, /</w:t>
      </w:r>
      <w:r>
        <w:rPr>
          <w:rFonts w:ascii="Garamond" w:hAnsi="Times New Roman"/>
          <w:sz w:val="24"/>
          <w:szCs w:val="24"/>
          <w:lang w:val="fr-FR"/>
        </w:rPr>
        <w:t>ǝ</w:t>
      </w:r>
      <w:r>
        <w:rPr>
          <w:rFonts w:ascii="Garamond" w:hAnsi="Garamond"/>
          <w:sz w:val="24"/>
          <w:szCs w:val="24"/>
          <w:lang w:val="fr-FR"/>
        </w:rPr>
        <w:t>/, /</w:t>
      </w:r>
      <w:r>
        <w:rPr>
          <w:rFonts w:ascii="Garamond" w:hAnsi="Times New Roman"/>
          <w:sz w:val="24"/>
          <w:szCs w:val="24"/>
          <w:lang w:val="fr-FR"/>
        </w:rPr>
        <w:t>ʃ</w:t>
      </w:r>
      <w:r>
        <w:rPr>
          <w:rFonts w:ascii="Garamond" w:hAnsi="Garamond"/>
          <w:sz w:val="24"/>
          <w:szCs w:val="24"/>
          <w:lang w:val="fr-FR"/>
        </w:rPr>
        <w:t>/, /v/, /z/, /</w:t>
      </w:r>
      <w:r>
        <w:rPr>
          <w:rFonts w:ascii="Garamond" w:hAnsi="Times New Roman"/>
          <w:sz w:val="24"/>
          <w:szCs w:val="24"/>
          <w:lang w:val="fr-FR"/>
        </w:rPr>
        <w:t>ʒ</w:t>
      </w:r>
      <w:r>
        <w:rPr>
          <w:rFonts w:ascii="Garamond" w:hAnsi="Garamond"/>
          <w:sz w:val="24"/>
          <w:szCs w:val="24"/>
          <w:lang w:val="fr-FR"/>
        </w:rPr>
        <w:t xml:space="preserve">/ du français sont absents en </w:t>
      </w:r>
      <w:r>
        <w:rPr>
          <w:rFonts w:ascii="Garamond" w:hAnsi="Garamond"/>
          <w:i/>
          <w:sz w:val="24"/>
          <w:szCs w:val="24"/>
          <w:lang w:val="fr-FR"/>
        </w:rPr>
        <w:t>baat</w:t>
      </w:r>
      <w:r>
        <w:rPr>
          <w:rFonts w:ascii="Times New Roman" w:hAnsi="Times New Roman"/>
          <w:i/>
          <w:sz w:val="24"/>
          <w:szCs w:val="24"/>
          <w:lang w:val="fr-FR"/>
        </w:rPr>
        <w:t>ɔ</w:t>
      </w:r>
      <w:r>
        <w:rPr>
          <w:rFonts w:ascii="Garamond" w:hAnsi="Garamond"/>
          <w:i/>
          <w:sz w:val="24"/>
          <w:szCs w:val="24"/>
          <w:lang w:val="fr-FR"/>
        </w:rPr>
        <w:t>num</w:t>
      </w:r>
      <w:r>
        <w:rPr>
          <w:rFonts w:ascii="Garamond" w:hAnsi="Garamond"/>
          <w:sz w:val="24"/>
          <w:szCs w:val="24"/>
          <w:lang w:val="fr-FR"/>
        </w:rPr>
        <w:t xml:space="preserve">. Dans le processus d’adaptation des emprunts de source française, le </w:t>
      </w:r>
      <w:r>
        <w:rPr>
          <w:rFonts w:ascii="Garamond" w:hAnsi="Garamond"/>
          <w:i/>
          <w:sz w:val="24"/>
          <w:szCs w:val="24"/>
          <w:lang w:val="fr-FR"/>
        </w:rPr>
        <w:t>Baat</w:t>
      </w:r>
      <w:r>
        <w:rPr>
          <w:rFonts w:ascii="Times New Roman" w:hAnsi="Times New Roman"/>
          <w:i/>
          <w:sz w:val="24"/>
          <w:szCs w:val="24"/>
          <w:lang w:val="fr-FR"/>
        </w:rPr>
        <w:t>ɔ</w:t>
      </w:r>
      <w:r>
        <w:rPr>
          <w:rFonts w:ascii="Garamond" w:hAnsi="Garamond"/>
          <w:i/>
          <w:sz w:val="24"/>
          <w:szCs w:val="24"/>
          <w:lang w:val="fr-FR"/>
        </w:rPr>
        <w:t xml:space="preserve">num </w:t>
      </w:r>
      <w:r>
        <w:rPr>
          <w:rFonts w:ascii="Garamond" w:hAnsi="Garamond"/>
          <w:sz w:val="24"/>
          <w:szCs w:val="24"/>
          <w:lang w:val="fr-FR"/>
        </w:rPr>
        <w:t xml:space="preserve">substitue ces phonèmes absents dans son système phonétique à des phonèmes proches. </w:t>
      </w:r>
      <w:r>
        <w:rPr>
          <w:rFonts w:ascii="Garamond" w:hAnsi="Garamond"/>
          <w:sz w:val="24"/>
          <w:szCs w:val="24"/>
        </w:rPr>
        <w:t>A titre d’exemples, nous pouvons citer les cas suivants :</w:t>
      </w:r>
    </w:p>
    <w:p>
      <w:pPr>
        <w:pStyle w:val="33"/>
        <w:numPr>
          <w:ilvl w:val="0"/>
          <w:numId w:val="6"/>
        </w:numPr>
        <w:tabs>
          <w:tab w:val="left" w:pos="270"/>
          <w:tab w:val="left" w:pos="450"/>
          <w:tab w:val="left" w:pos="540"/>
        </w:tabs>
        <w:spacing w:after="0" w:line="480" w:lineRule="auto"/>
        <w:jc w:val="both"/>
        <w:rPr>
          <w:rFonts w:ascii="Garamond" w:hAnsi="Garamond"/>
          <w:sz w:val="24"/>
          <w:szCs w:val="24"/>
        </w:rPr>
      </w:pPr>
      <w:r>
        <w:rPr>
          <w:rFonts w:ascii="Garamond" w:hAnsi="Garamond"/>
          <w:b/>
          <w:sz w:val="24"/>
          <w:szCs w:val="24"/>
        </w:rPr>
        <w:tab/>
      </w:r>
      <w:r>
        <w:rPr>
          <w:rFonts w:ascii="Garamond" w:hAnsi="Garamond"/>
          <w:b/>
          <w:sz w:val="24"/>
          <w:szCs w:val="24"/>
        </w:rPr>
        <w:t>/</w:t>
      </w:r>
      <w:r>
        <w:rPr>
          <w:rFonts w:ascii="Garamond" w:hAnsi="Times New Roman"/>
          <w:b/>
          <w:sz w:val="24"/>
          <w:szCs w:val="24"/>
        </w:rPr>
        <w:t>ʃ</w:t>
      </w:r>
      <w:r>
        <w:rPr>
          <w:rFonts w:ascii="Garamond" w:hAnsi="Garamond"/>
          <w:b/>
          <w:sz w:val="24"/>
          <w:szCs w:val="24"/>
        </w:rPr>
        <w:t>/, /</w:t>
      </w:r>
      <w:r>
        <w:rPr>
          <w:rFonts w:ascii="Garamond" w:hAnsi="Times New Roman"/>
          <w:b/>
          <w:sz w:val="24"/>
          <w:szCs w:val="24"/>
        </w:rPr>
        <w:t>ʒ</w:t>
      </w:r>
      <w:r>
        <w:rPr>
          <w:rFonts w:ascii="Garamond" w:hAnsi="Garamond"/>
          <w:b/>
          <w:sz w:val="24"/>
          <w:szCs w:val="24"/>
        </w:rPr>
        <w:t>/, /z/ &gt; /s/</w:t>
      </w:r>
      <w:r>
        <w:rPr>
          <w:rFonts w:ascii="Garamond" w:hAnsi="Garamond"/>
          <w:sz w:val="24"/>
          <w:szCs w:val="24"/>
        </w:rPr>
        <w:t xml:space="preserve"> : </w:t>
      </w:r>
    </w:p>
    <w:p>
      <w:pPr>
        <w:pStyle w:val="33"/>
        <w:numPr>
          <w:ilvl w:val="0"/>
          <w:numId w:val="6"/>
        </w:numPr>
        <w:tabs>
          <w:tab w:val="left" w:pos="270"/>
          <w:tab w:val="left" w:pos="450"/>
          <w:tab w:val="left" w:pos="540"/>
        </w:tabs>
        <w:spacing w:after="0" w:line="480" w:lineRule="auto"/>
        <w:jc w:val="both"/>
        <w:rPr>
          <w:rFonts w:ascii="Garamond" w:hAnsi="Garamond"/>
          <w:sz w:val="24"/>
          <w:szCs w:val="24"/>
          <w:lang w:val="fr-FR"/>
        </w:rPr>
      </w:pPr>
      <w:r>
        <w:rPr>
          <w:rFonts w:ascii="Garamond" w:hAnsi="Garamond"/>
          <w:sz w:val="24"/>
          <w:szCs w:val="24"/>
          <w:lang w:val="fr-FR"/>
        </w:rPr>
        <w:t>sachet /sa</w:t>
      </w:r>
      <w:r>
        <w:rPr>
          <w:rFonts w:ascii="Garamond" w:hAnsi="Times New Roman"/>
          <w:b/>
          <w:sz w:val="24"/>
          <w:szCs w:val="24"/>
          <w:lang w:val="fr-FR"/>
        </w:rPr>
        <w:t>ʃ</w:t>
      </w:r>
      <w:r>
        <w:rPr>
          <w:rFonts w:ascii="Garamond" w:hAnsi="Garamond"/>
          <w:sz w:val="24"/>
          <w:szCs w:val="24"/>
          <w:lang w:val="fr-FR"/>
        </w:rPr>
        <w:t xml:space="preserve">e/ (fr) &gt; </w:t>
      </w:r>
      <w:r>
        <w:rPr>
          <w:rFonts w:ascii="Garamond" w:hAnsi="Garamond"/>
          <w:i/>
          <w:sz w:val="24"/>
          <w:szCs w:val="24"/>
          <w:lang w:val="fr-FR"/>
        </w:rPr>
        <w:t>sase</w:t>
      </w:r>
      <w:r>
        <w:rPr>
          <w:rFonts w:ascii="Garamond" w:hAnsi="Garamond"/>
          <w:sz w:val="24"/>
          <w:szCs w:val="24"/>
          <w:lang w:val="fr-FR"/>
        </w:rPr>
        <w:t xml:space="preserve"> /sa</w:t>
      </w:r>
      <w:r>
        <w:rPr>
          <w:rFonts w:ascii="Garamond" w:hAnsi="Garamond"/>
          <w:b/>
          <w:sz w:val="24"/>
          <w:szCs w:val="24"/>
          <w:lang w:val="fr-FR"/>
        </w:rPr>
        <w:t>s</w:t>
      </w:r>
      <w:r>
        <w:rPr>
          <w:rFonts w:ascii="Garamond" w:hAnsi="Garamond"/>
          <w:sz w:val="24"/>
          <w:szCs w:val="24"/>
          <w:lang w:val="fr-FR"/>
        </w:rPr>
        <w:t xml:space="preserve">e/ (baat) ; </w:t>
      </w:r>
    </w:p>
    <w:p>
      <w:pPr>
        <w:pStyle w:val="33"/>
        <w:numPr>
          <w:ilvl w:val="0"/>
          <w:numId w:val="6"/>
        </w:numPr>
        <w:tabs>
          <w:tab w:val="left" w:pos="270"/>
          <w:tab w:val="left" w:pos="450"/>
          <w:tab w:val="left" w:pos="540"/>
        </w:tabs>
        <w:spacing w:after="0" w:line="480" w:lineRule="auto"/>
        <w:jc w:val="both"/>
        <w:rPr>
          <w:rFonts w:ascii="Garamond" w:hAnsi="Garamond"/>
          <w:sz w:val="24"/>
          <w:szCs w:val="24"/>
        </w:rPr>
      </w:pPr>
      <w:r>
        <w:rPr>
          <w:rFonts w:ascii="Garamond" w:hAnsi="Garamond"/>
          <w:sz w:val="24"/>
          <w:szCs w:val="24"/>
        </w:rPr>
        <w:t>gendarme /</w:t>
      </w:r>
      <w:r>
        <w:rPr>
          <w:rFonts w:ascii="Garamond" w:hAnsi="Times New Roman"/>
          <w:b/>
          <w:sz w:val="24"/>
          <w:szCs w:val="24"/>
        </w:rPr>
        <w:t>ʒ</w:t>
      </w:r>
      <w:r>
        <w:rPr>
          <w:rFonts w:ascii="Garamond" w:hAnsi="Garamond"/>
          <w:sz w:val="24"/>
          <w:szCs w:val="24"/>
        </w:rPr>
        <w:t>a</w:t>
      </w:r>
      <w:r>
        <w:rPr>
          <w:rFonts w:ascii="Times New Roman" w:hAnsi="Times New Roman"/>
          <w:sz w:val="24"/>
          <w:szCs w:val="24"/>
        </w:rPr>
        <w:t>̃</w:t>
      </w:r>
      <w:r>
        <w:rPr>
          <w:rFonts w:ascii="Garamond" w:hAnsi="Garamond"/>
          <w:sz w:val="24"/>
          <w:szCs w:val="24"/>
        </w:rPr>
        <w:t xml:space="preserve">daRm/ (fr) &gt;  </w:t>
      </w:r>
      <w:r>
        <w:rPr>
          <w:rFonts w:ascii="Garamond" w:hAnsi="Garamond"/>
          <w:i/>
          <w:sz w:val="24"/>
          <w:szCs w:val="24"/>
        </w:rPr>
        <w:t>sandaru</w:t>
      </w:r>
      <w:r>
        <w:rPr>
          <w:rFonts w:ascii="Garamond" w:hAnsi="Garamond"/>
          <w:sz w:val="24"/>
          <w:szCs w:val="24"/>
        </w:rPr>
        <w:t xml:space="preserve"> /</w:t>
      </w:r>
      <w:r>
        <w:rPr>
          <w:rFonts w:ascii="Garamond" w:hAnsi="Garamond"/>
          <w:b/>
          <w:sz w:val="24"/>
          <w:szCs w:val="24"/>
        </w:rPr>
        <w:t>s</w:t>
      </w:r>
      <w:r>
        <w:rPr>
          <w:rFonts w:ascii="Garamond" w:hAnsi="Garamond"/>
          <w:sz w:val="24"/>
          <w:szCs w:val="24"/>
        </w:rPr>
        <w:t xml:space="preserve">andaRu/ (baat) ; </w:t>
      </w:r>
    </w:p>
    <w:p>
      <w:pPr>
        <w:pStyle w:val="33"/>
        <w:numPr>
          <w:ilvl w:val="0"/>
          <w:numId w:val="6"/>
        </w:numPr>
        <w:tabs>
          <w:tab w:val="left" w:pos="270"/>
          <w:tab w:val="left" w:pos="450"/>
          <w:tab w:val="left" w:pos="540"/>
        </w:tabs>
        <w:spacing w:after="0" w:line="480" w:lineRule="auto"/>
        <w:jc w:val="both"/>
        <w:rPr>
          <w:rFonts w:ascii="Garamond" w:hAnsi="Garamond"/>
          <w:sz w:val="24"/>
          <w:szCs w:val="24"/>
          <w:lang w:val="fr-FR"/>
        </w:rPr>
      </w:pPr>
      <w:r>
        <w:rPr>
          <w:rFonts w:ascii="Garamond" w:hAnsi="Garamond"/>
          <w:sz w:val="24"/>
          <w:szCs w:val="24"/>
          <w:lang w:val="fr-FR"/>
        </w:rPr>
        <w:t>menuisjer /m</w:t>
      </w:r>
      <w:r>
        <w:rPr>
          <w:rFonts w:ascii="Times New Roman" w:hAnsi="Times New Roman"/>
          <w:sz w:val="24"/>
          <w:szCs w:val="24"/>
        </w:rPr>
        <w:t>ә</w:t>
      </w:r>
      <w:r>
        <w:rPr>
          <w:rFonts w:ascii="Garamond" w:hAnsi="Garamond"/>
          <w:sz w:val="24"/>
          <w:szCs w:val="24"/>
          <w:lang w:val="fr-FR"/>
        </w:rPr>
        <w:t>n</w:t>
      </w:r>
      <w:r>
        <w:rPr>
          <w:rFonts w:ascii="Garamond" w:hAnsi="Times New Roman"/>
          <w:sz w:val="24"/>
          <w:szCs w:val="24"/>
          <w:lang w:val="fr-FR"/>
        </w:rPr>
        <w:t>ɥ</w:t>
      </w:r>
      <w:r>
        <w:rPr>
          <w:rFonts w:ascii="Garamond" w:hAnsi="Garamond"/>
          <w:sz w:val="24"/>
          <w:szCs w:val="24"/>
          <w:lang w:val="fr-FR"/>
        </w:rPr>
        <w:t>i</w:t>
      </w:r>
      <w:r>
        <w:rPr>
          <w:rFonts w:ascii="Garamond" w:hAnsi="Garamond"/>
          <w:b/>
          <w:sz w:val="24"/>
          <w:szCs w:val="24"/>
          <w:lang w:val="fr-FR"/>
        </w:rPr>
        <w:t>z</w:t>
      </w:r>
      <w:r>
        <w:rPr>
          <w:rFonts w:ascii="Garamond" w:hAnsi="Garamond"/>
          <w:sz w:val="24"/>
          <w:szCs w:val="24"/>
          <w:lang w:val="fr-FR"/>
        </w:rPr>
        <w:t xml:space="preserve">ie/ (fr) &gt;  </w:t>
      </w:r>
      <w:r>
        <w:rPr>
          <w:rFonts w:ascii="Garamond" w:hAnsi="Garamond"/>
          <w:i/>
          <w:sz w:val="24"/>
          <w:szCs w:val="24"/>
          <w:lang w:val="fr-FR"/>
        </w:rPr>
        <w:t>menisie</w:t>
      </w:r>
      <w:r>
        <w:rPr>
          <w:rFonts w:ascii="Garamond" w:hAnsi="Garamond"/>
          <w:sz w:val="24"/>
          <w:szCs w:val="24"/>
          <w:lang w:val="fr-FR"/>
        </w:rPr>
        <w:t xml:space="preserve"> / meni</w:t>
      </w:r>
      <w:r>
        <w:rPr>
          <w:rFonts w:ascii="Garamond" w:hAnsi="Garamond"/>
          <w:b/>
          <w:sz w:val="24"/>
          <w:szCs w:val="24"/>
          <w:lang w:val="fr-FR"/>
        </w:rPr>
        <w:t>s</w:t>
      </w:r>
      <w:r>
        <w:rPr>
          <w:rFonts w:ascii="Garamond" w:hAnsi="Garamond"/>
          <w:sz w:val="24"/>
          <w:szCs w:val="24"/>
          <w:lang w:val="fr-FR"/>
        </w:rPr>
        <w:t xml:space="preserve">ie/, etc.  </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lang w:val="fr-FR"/>
        </w:rPr>
        <w:tab/>
      </w:r>
      <w:r>
        <w:rPr>
          <w:rFonts w:ascii="Garamond" w:hAnsi="Garamond"/>
          <w:sz w:val="24"/>
          <w:szCs w:val="24"/>
        </w:rPr>
        <w:t xml:space="preserve">/v/ &gt; /b/ : </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rPr>
        <w:t>serviette /s</w:t>
      </w:r>
      <w:r>
        <w:rPr>
          <w:rFonts w:ascii="Garamond" w:hAnsi="Times New Roman"/>
          <w:sz w:val="24"/>
          <w:szCs w:val="24"/>
        </w:rPr>
        <w:t>ɛ</w:t>
      </w:r>
      <w:r>
        <w:rPr>
          <w:rFonts w:ascii="Garamond" w:hAnsi="Garamond"/>
          <w:sz w:val="24"/>
          <w:szCs w:val="24"/>
        </w:rPr>
        <w:t>R</w:t>
      </w:r>
      <w:r>
        <w:rPr>
          <w:rFonts w:ascii="Garamond" w:hAnsi="Garamond"/>
          <w:b/>
          <w:sz w:val="24"/>
          <w:szCs w:val="24"/>
        </w:rPr>
        <w:t>v</w:t>
      </w:r>
      <w:r>
        <w:rPr>
          <w:rFonts w:ascii="Garamond" w:hAnsi="Garamond"/>
          <w:sz w:val="24"/>
          <w:szCs w:val="24"/>
        </w:rPr>
        <w:t>j</w:t>
      </w:r>
      <w:r>
        <w:rPr>
          <w:rFonts w:ascii="Garamond" w:hAnsi="Times New Roman"/>
          <w:sz w:val="24"/>
          <w:szCs w:val="24"/>
        </w:rPr>
        <w:t>ɛ</w:t>
      </w:r>
      <w:r>
        <w:rPr>
          <w:rFonts w:ascii="Garamond" w:hAnsi="Garamond"/>
          <w:sz w:val="24"/>
          <w:szCs w:val="24"/>
        </w:rPr>
        <w:t xml:space="preserve">t/ (fr) &gt; </w:t>
      </w:r>
      <w:r>
        <w:rPr>
          <w:rFonts w:ascii="Garamond" w:hAnsi="Garamond"/>
          <w:i/>
          <w:sz w:val="24"/>
          <w:szCs w:val="24"/>
        </w:rPr>
        <w:t>s</w:t>
      </w:r>
      <w:r>
        <w:rPr>
          <w:rFonts w:ascii="Garamond" w:hAnsi="Times New Roman"/>
          <w:i/>
          <w:sz w:val="24"/>
          <w:szCs w:val="24"/>
        </w:rPr>
        <w:t>ɛɛ</w:t>
      </w:r>
      <w:r>
        <w:rPr>
          <w:rFonts w:ascii="Garamond" w:hAnsi="Garamond"/>
          <w:b/>
          <w:i/>
          <w:sz w:val="24"/>
          <w:szCs w:val="24"/>
        </w:rPr>
        <w:t>b</w:t>
      </w:r>
      <w:r>
        <w:rPr>
          <w:rFonts w:ascii="Garamond" w:hAnsi="Times New Roman"/>
          <w:i/>
          <w:sz w:val="24"/>
          <w:szCs w:val="24"/>
        </w:rPr>
        <w:t>ɛ</w:t>
      </w:r>
      <w:r>
        <w:rPr>
          <w:rFonts w:ascii="Garamond" w:hAnsi="Garamond"/>
          <w:i/>
          <w:sz w:val="24"/>
          <w:szCs w:val="24"/>
        </w:rPr>
        <w:t>ti</w:t>
      </w:r>
      <w:r>
        <w:rPr>
          <w:rFonts w:ascii="Garamond" w:hAnsi="Garamond"/>
          <w:sz w:val="24"/>
          <w:szCs w:val="24"/>
        </w:rPr>
        <w:t xml:space="preserve"> /s</w:t>
      </w:r>
      <w:r>
        <w:rPr>
          <w:rFonts w:ascii="Garamond" w:hAnsi="Times New Roman"/>
          <w:sz w:val="24"/>
          <w:szCs w:val="24"/>
        </w:rPr>
        <w:t>ɛ</w:t>
      </w:r>
      <w:r>
        <w:rPr>
          <w:rFonts w:ascii="Garamond" w:hAnsi="Garamond"/>
          <w:sz w:val="24"/>
          <w:szCs w:val="24"/>
        </w:rPr>
        <w:t>:b</w:t>
      </w:r>
      <w:r>
        <w:rPr>
          <w:rFonts w:ascii="Garamond" w:hAnsi="Times New Roman"/>
          <w:sz w:val="24"/>
          <w:szCs w:val="24"/>
        </w:rPr>
        <w:t>ɛ</w:t>
      </w:r>
      <w:r>
        <w:rPr>
          <w:rFonts w:ascii="Garamond" w:hAnsi="Garamond"/>
          <w:sz w:val="24"/>
          <w:szCs w:val="24"/>
        </w:rPr>
        <w:t>ti/ (baat)</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rPr>
        <w:tab/>
      </w:r>
      <w:r>
        <w:rPr>
          <w:rFonts w:ascii="Garamond" w:hAnsi="Garamond"/>
          <w:sz w:val="24"/>
          <w:szCs w:val="24"/>
        </w:rPr>
        <w:t xml:space="preserve">/v/ &gt; /f/ :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volant /</w:t>
      </w:r>
      <w:r>
        <w:rPr>
          <w:rFonts w:ascii="Garamond" w:hAnsi="Garamond"/>
          <w:b/>
          <w:sz w:val="24"/>
          <w:szCs w:val="24"/>
          <w:lang w:val="fr-FR"/>
        </w:rPr>
        <w:t>v</w:t>
      </w:r>
      <w:r>
        <w:rPr>
          <w:rFonts w:ascii="Garamond" w:hAnsi="Garamond"/>
          <w:sz w:val="24"/>
          <w:szCs w:val="24"/>
          <w:lang w:val="fr-FR"/>
        </w:rPr>
        <w:t>ola</w:t>
      </w:r>
      <w:r>
        <w:rPr>
          <w:rFonts w:ascii="Times New Roman" w:hAnsi="Times New Roman"/>
          <w:sz w:val="24"/>
          <w:szCs w:val="24"/>
          <w:lang w:val="fr-FR"/>
        </w:rPr>
        <w:t>̃</w:t>
      </w:r>
      <w:r>
        <w:rPr>
          <w:rFonts w:ascii="Garamond" w:hAnsi="Garamond"/>
          <w:sz w:val="24"/>
          <w:szCs w:val="24"/>
          <w:lang w:val="fr-FR"/>
        </w:rPr>
        <w:t xml:space="preserve">/ (fr) &gt; </w:t>
      </w:r>
      <w:r>
        <w:rPr>
          <w:rFonts w:ascii="Garamond" w:hAnsi="Garamond"/>
          <w:i/>
          <w:sz w:val="24"/>
          <w:szCs w:val="24"/>
          <w:lang w:val="fr-FR"/>
        </w:rPr>
        <w:t>fona</w:t>
      </w:r>
      <w:r>
        <w:rPr>
          <w:rFonts w:ascii="Garamond" w:hAnsi="Garamond"/>
          <w:sz w:val="24"/>
          <w:szCs w:val="24"/>
          <w:lang w:val="fr-FR"/>
        </w:rPr>
        <w:t xml:space="preserve"> /</w:t>
      </w:r>
      <w:r>
        <w:rPr>
          <w:rFonts w:ascii="Garamond" w:hAnsi="Garamond"/>
          <w:b/>
          <w:sz w:val="24"/>
          <w:szCs w:val="24"/>
          <w:lang w:val="fr-FR"/>
        </w:rPr>
        <w:t>f</w:t>
      </w:r>
      <w:r>
        <w:rPr>
          <w:rFonts w:ascii="Garamond" w:hAnsi="Garamond"/>
          <w:sz w:val="24"/>
          <w:szCs w:val="24"/>
          <w:lang w:val="fr-FR"/>
        </w:rPr>
        <w:t>ona/ (baat)</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lang w:val="fr-FR"/>
        </w:rPr>
        <w:tab/>
      </w:r>
      <w:r>
        <w:rPr>
          <w:rFonts w:ascii="Garamond" w:hAnsi="Garamond"/>
          <w:sz w:val="24"/>
          <w:szCs w:val="24"/>
        </w:rPr>
        <w:t xml:space="preserve">/l/  &gt; /R/: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table /tab</w:t>
      </w:r>
      <w:r>
        <w:rPr>
          <w:rFonts w:ascii="Garamond" w:hAnsi="Garamond"/>
          <w:b/>
          <w:sz w:val="24"/>
          <w:szCs w:val="24"/>
          <w:lang w:val="fr-FR"/>
        </w:rPr>
        <w:t>l</w:t>
      </w:r>
      <w:r>
        <w:rPr>
          <w:rFonts w:ascii="Garamond" w:hAnsi="Garamond"/>
          <w:sz w:val="24"/>
          <w:szCs w:val="24"/>
          <w:lang w:val="fr-FR"/>
        </w:rPr>
        <w:t xml:space="preserve">/ (fr) &gt; </w:t>
      </w:r>
      <w:r>
        <w:rPr>
          <w:rFonts w:ascii="Garamond" w:hAnsi="Garamond"/>
          <w:i/>
          <w:sz w:val="24"/>
          <w:szCs w:val="24"/>
          <w:lang w:val="fr-FR"/>
        </w:rPr>
        <w:t>taburu</w:t>
      </w:r>
      <w:r>
        <w:rPr>
          <w:rFonts w:ascii="Garamond" w:hAnsi="Garamond"/>
          <w:sz w:val="24"/>
          <w:szCs w:val="24"/>
          <w:lang w:val="fr-FR"/>
        </w:rPr>
        <w:t xml:space="preserve"> /tabu</w:t>
      </w:r>
      <w:r>
        <w:rPr>
          <w:rFonts w:ascii="Garamond" w:hAnsi="Garamond"/>
          <w:b/>
          <w:sz w:val="24"/>
          <w:szCs w:val="24"/>
          <w:lang w:val="fr-FR"/>
        </w:rPr>
        <w:t>R</w:t>
      </w:r>
      <w:r>
        <w:rPr>
          <w:rFonts w:ascii="Garamond" w:hAnsi="Garamond"/>
          <w:sz w:val="24"/>
          <w:szCs w:val="24"/>
          <w:lang w:val="fr-FR"/>
        </w:rPr>
        <w:t xml:space="preserve">u/ (baat) ; </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rPr>
        <w:t>délégué /de</w:t>
      </w:r>
      <w:r>
        <w:rPr>
          <w:rFonts w:ascii="Garamond" w:hAnsi="Garamond"/>
          <w:b/>
          <w:sz w:val="24"/>
          <w:szCs w:val="24"/>
        </w:rPr>
        <w:t>l</w:t>
      </w:r>
      <w:r>
        <w:rPr>
          <w:rFonts w:ascii="Garamond" w:hAnsi="Garamond"/>
          <w:sz w:val="24"/>
          <w:szCs w:val="24"/>
        </w:rPr>
        <w:t xml:space="preserve">ege/ (fr) &gt; </w:t>
      </w:r>
      <w:r>
        <w:rPr>
          <w:rFonts w:ascii="Garamond" w:hAnsi="Garamond"/>
          <w:i/>
          <w:sz w:val="24"/>
          <w:szCs w:val="24"/>
        </w:rPr>
        <w:t>derege</w:t>
      </w:r>
      <w:r>
        <w:rPr>
          <w:rFonts w:ascii="Garamond" w:hAnsi="Garamond"/>
          <w:sz w:val="24"/>
          <w:szCs w:val="24"/>
        </w:rPr>
        <w:t xml:space="preserve">  /de</w:t>
      </w:r>
      <w:r>
        <w:rPr>
          <w:rFonts w:ascii="Garamond" w:hAnsi="Garamond"/>
          <w:b/>
          <w:sz w:val="24"/>
          <w:szCs w:val="24"/>
        </w:rPr>
        <w:t>r</w:t>
      </w:r>
      <w:r>
        <w:rPr>
          <w:rFonts w:ascii="Garamond" w:hAnsi="Garamond"/>
          <w:sz w:val="24"/>
          <w:szCs w:val="24"/>
        </w:rPr>
        <w:t xml:space="preserve">ege/ (baat) ;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police /p</w:t>
      </w:r>
      <w:r>
        <w:rPr>
          <w:rFonts w:ascii="Garamond" w:hAnsi="Times New Roman"/>
          <w:i/>
          <w:sz w:val="24"/>
          <w:szCs w:val="24"/>
          <w:lang w:val="fr-FR"/>
        </w:rPr>
        <w:t>ɔ</w:t>
      </w:r>
      <w:r>
        <w:rPr>
          <w:rFonts w:ascii="Garamond" w:hAnsi="Garamond"/>
          <w:b/>
          <w:sz w:val="24"/>
          <w:szCs w:val="24"/>
          <w:lang w:val="fr-FR"/>
        </w:rPr>
        <w:t>l</w:t>
      </w:r>
      <w:r>
        <w:rPr>
          <w:rFonts w:ascii="Garamond" w:hAnsi="Garamond"/>
          <w:sz w:val="24"/>
          <w:szCs w:val="24"/>
          <w:lang w:val="fr-FR"/>
        </w:rPr>
        <w:t xml:space="preserve">is/ (fr) &gt; </w:t>
      </w:r>
      <w:r>
        <w:rPr>
          <w:rFonts w:ascii="Garamond" w:hAnsi="Garamond"/>
          <w:i/>
          <w:sz w:val="24"/>
          <w:szCs w:val="24"/>
          <w:lang w:val="fr-FR"/>
        </w:rPr>
        <w:t>porisi</w:t>
      </w:r>
      <w:r>
        <w:rPr>
          <w:rFonts w:ascii="Garamond" w:hAnsi="Garamond"/>
          <w:sz w:val="24"/>
          <w:szCs w:val="24"/>
          <w:lang w:val="fr-FR"/>
        </w:rPr>
        <w:t xml:space="preserve"> /po</w:t>
      </w:r>
      <w:r>
        <w:rPr>
          <w:rFonts w:ascii="Garamond" w:hAnsi="Garamond"/>
          <w:b/>
          <w:sz w:val="24"/>
          <w:szCs w:val="24"/>
          <w:lang w:val="fr-FR"/>
        </w:rPr>
        <w:t>R</w:t>
      </w:r>
      <w:r>
        <w:rPr>
          <w:rFonts w:ascii="Garamond" w:hAnsi="Garamond"/>
          <w:sz w:val="24"/>
          <w:szCs w:val="24"/>
          <w:lang w:val="fr-FR"/>
        </w:rPr>
        <w:t xml:space="preserve">isi/ (baat), etc.  </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lang w:val="fr-FR"/>
        </w:rPr>
        <w:tab/>
      </w:r>
      <w:r>
        <w:rPr>
          <w:rFonts w:ascii="Garamond" w:hAnsi="Garamond"/>
          <w:sz w:val="24"/>
          <w:szCs w:val="24"/>
        </w:rPr>
        <w:t xml:space="preserve">/l/ &gt; /n/ :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ballon /ba</w:t>
      </w:r>
      <w:r>
        <w:rPr>
          <w:rFonts w:ascii="Garamond" w:hAnsi="Garamond"/>
          <w:b/>
          <w:sz w:val="24"/>
          <w:szCs w:val="24"/>
          <w:lang w:val="fr-FR"/>
        </w:rPr>
        <w:t>l</w:t>
      </w:r>
      <w:r>
        <w:rPr>
          <w:rFonts w:ascii="Garamond" w:hAnsi="Times New Roman"/>
          <w:sz w:val="24"/>
          <w:szCs w:val="24"/>
          <w:lang w:val="fr-FR"/>
        </w:rPr>
        <w:t>ɔ̃</w:t>
      </w:r>
      <w:r>
        <w:rPr>
          <w:rFonts w:ascii="Garamond" w:hAnsi="Garamond"/>
          <w:sz w:val="24"/>
          <w:szCs w:val="24"/>
          <w:lang w:val="fr-FR"/>
        </w:rPr>
        <w:t xml:space="preserve">/ (fr) &gt; </w:t>
      </w:r>
      <w:r>
        <w:rPr>
          <w:rFonts w:ascii="Garamond" w:hAnsi="Garamond"/>
          <w:i/>
          <w:sz w:val="24"/>
          <w:szCs w:val="24"/>
          <w:lang w:val="fr-FR"/>
        </w:rPr>
        <w:t>ban</w:t>
      </w:r>
      <w:r>
        <w:rPr>
          <w:rFonts w:ascii="Garamond" w:hAnsi="Times New Roman"/>
          <w:i/>
          <w:sz w:val="24"/>
          <w:szCs w:val="24"/>
          <w:lang w:val="fr-FR"/>
        </w:rPr>
        <w:t>ɔ</w:t>
      </w:r>
      <w:r>
        <w:rPr>
          <w:rFonts w:ascii="Garamond" w:hAnsi="Garamond"/>
          <w:sz w:val="24"/>
          <w:szCs w:val="24"/>
          <w:lang w:val="fr-FR"/>
        </w:rPr>
        <w:t xml:space="preserve"> /ba</w:t>
      </w:r>
      <w:r>
        <w:rPr>
          <w:rFonts w:ascii="Garamond" w:hAnsi="Garamond"/>
          <w:b/>
          <w:sz w:val="24"/>
          <w:szCs w:val="24"/>
          <w:lang w:val="fr-FR"/>
        </w:rPr>
        <w:t>n</w:t>
      </w:r>
      <w:r>
        <w:rPr>
          <w:rFonts w:ascii="Garamond" w:hAnsi="Times New Roman"/>
          <w:sz w:val="24"/>
          <w:szCs w:val="24"/>
          <w:lang w:val="fr-FR"/>
        </w:rPr>
        <w:t>ɔ</w:t>
      </w:r>
      <w:r>
        <w:rPr>
          <w:rFonts w:ascii="Garamond" w:hAnsi="Garamond"/>
          <w:sz w:val="24"/>
          <w:szCs w:val="24"/>
          <w:lang w:val="fr-FR"/>
        </w:rPr>
        <w:t xml:space="preserve">/ (baat) ;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volant /v</w:t>
      </w:r>
      <w:r>
        <w:rPr>
          <w:rFonts w:ascii="Garamond" w:hAnsi="Times New Roman"/>
          <w:i/>
          <w:sz w:val="24"/>
          <w:szCs w:val="24"/>
          <w:lang w:val="fr-FR"/>
        </w:rPr>
        <w:t>ɔ</w:t>
      </w:r>
      <w:r>
        <w:rPr>
          <w:rFonts w:ascii="Garamond" w:hAnsi="Garamond"/>
          <w:b/>
          <w:sz w:val="24"/>
          <w:szCs w:val="24"/>
          <w:lang w:val="fr-FR"/>
        </w:rPr>
        <w:t>l</w:t>
      </w:r>
      <w:r>
        <w:rPr>
          <w:rFonts w:ascii="Times New Roman" w:hAnsi="Times New Roman"/>
          <w:sz w:val="24"/>
          <w:szCs w:val="24"/>
          <w:lang w:val="fr-FR"/>
        </w:rPr>
        <w:t>ɑ̃</w:t>
      </w:r>
      <w:r>
        <w:rPr>
          <w:rFonts w:ascii="Garamond" w:hAnsi="Garamond"/>
          <w:sz w:val="24"/>
          <w:szCs w:val="24"/>
          <w:lang w:val="fr-FR"/>
        </w:rPr>
        <w:t xml:space="preserve">/ (fr) &gt; </w:t>
      </w:r>
      <w:r>
        <w:rPr>
          <w:rFonts w:ascii="Garamond" w:hAnsi="Garamond"/>
          <w:i/>
          <w:sz w:val="24"/>
          <w:szCs w:val="24"/>
          <w:lang w:val="fr-FR"/>
        </w:rPr>
        <w:t>fona</w:t>
      </w:r>
      <w:r>
        <w:rPr>
          <w:rFonts w:ascii="Garamond" w:hAnsi="Garamond"/>
          <w:sz w:val="24"/>
          <w:szCs w:val="24"/>
          <w:lang w:val="fr-FR"/>
        </w:rPr>
        <w:t xml:space="preserve"> /fo</w:t>
      </w:r>
      <w:r>
        <w:rPr>
          <w:rFonts w:ascii="Garamond" w:hAnsi="Garamond"/>
          <w:b/>
          <w:sz w:val="24"/>
          <w:szCs w:val="24"/>
          <w:lang w:val="fr-FR"/>
        </w:rPr>
        <w:t>n</w:t>
      </w:r>
      <w:r>
        <w:rPr>
          <w:rFonts w:ascii="Garamond" w:hAnsi="Garamond"/>
          <w:sz w:val="24"/>
          <w:szCs w:val="24"/>
          <w:lang w:val="fr-FR"/>
        </w:rPr>
        <w:t xml:space="preserve">a/ (baat). </w:t>
      </w:r>
    </w:p>
    <w:p>
      <w:pPr>
        <w:pStyle w:val="33"/>
        <w:numPr>
          <w:ilvl w:val="0"/>
          <w:numId w:val="6"/>
        </w:numPr>
        <w:tabs>
          <w:tab w:val="left" w:pos="270"/>
        </w:tabs>
        <w:spacing w:after="0" w:line="480" w:lineRule="auto"/>
        <w:jc w:val="both"/>
        <w:rPr>
          <w:rFonts w:ascii="Garamond" w:hAnsi="Garamond"/>
          <w:sz w:val="24"/>
          <w:szCs w:val="24"/>
        </w:rPr>
      </w:pPr>
      <w:r>
        <w:rPr>
          <w:rFonts w:ascii="Garamond" w:hAnsi="Garamond"/>
          <w:sz w:val="24"/>
          <w:szCs w:val="24"/>
          <w:lang w:val="fr-FR"/>
        </w:rPr>
        <w:tab/>
      </w:r>
      <w:r>
        <w:rPr>
          <w:rFonts w:ascii="Garamond" w:hAnsi="Garamond"/>
          <w:sz w:val="24"/>
          <w:szCs w:val="24"/>
        </w:rPr>
        <w:t>/y/ &gt; /u/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allumette /al</w:t>
      </w:r>
      <w:r>
        <w:rPr>
          <w:rFonts w:ascii="Garamond" w:hAnsi="Garamond"/>
          <w:b/>
          <w:sz w:val="24"/>
          <w:szCs w:val="24"/>
          <w:lang w:val="fr-FR"/>
        </w:rPr>
        <w:t>y</w:t>
      </w:r>
      <w:r>
        <w:rPr>
          <w:rFonts w:ascii="Garamond" w:hAnsi="Garamond"/>
          <w:sz w:val="24"/>
          <w:szCs w:val="24"/>
          <w:lang w:val="fr-FR"/>
        </w:rPr>
        <w:t>m</w:t>
      </w:r>
      <w:r>
        <w:rPr>
          <w:rFonts w:ascii="Garamond" w:hAnsi="Times New Roman"/>
          <w:sz w:val="24"/>
          <w:szCs w:val="24"/>
          <w:lang w:val="fr-FR"/>
        </w:rPr>
        <w:t>ɛ</w:t>
      </w:r>
      <w:r>
        <w:rPr>
          <w:rFonts w:ascii="Garamond" w:hAnsi="Garamond"/>
          <w:sz w:val="24"/>
          <w:szCs w:val="24"/>
          <w:lang w:val="fr-FR"/>
        </w:rPr>
        <w:t xml:space="preserve">t/ (fr) &gt; </w:t>
      </w:r>
      <w:r>
        <w:rPr>
          <w:rFonts w:ascii="Garamond" w:hAnsi="Garamond"/>
          <w:i/>
          <w:sz w:val="24"/>
          <w:szCs w:val="24"/>
          <w:lang w:val="fr-FR"/>
        </w:rPr>
        <w:t>arum</w:t>
      </w:r>
      <w:r>
        <w:rPr>
          <w:rFonts w:ascii="Garamond" w:hAnsi="Times New Roman"/>
          <w:i/>
          <w:sz w:val="24"/>
          <w:szCs w:val="24"/>
          <w:lang w:val="fr-FR"/>
        </w:rPr>
        <w:t>ɛ</w:t>
      </w:r>
      <w:r>
        <w:rPr>
          <w:rFonts w:ascii="Garamond" w:hAnsi="Garamond"/>
          <w:i/>
          <w:sz w:val="24"/>
          <w:szCs w:val="24"/>
          <w:lang w:val="fr-FR"/>
        </w:rPr>
        <w:t>ti</w:t>
      </w:r>
      <w:r>
        <w:rPr>
          <w:rFonts w:ascii="Garamond" w:hAnsi="Garamond"/>
          <w:sz w:val="24"/>
          <w:szCs w:val="24"/>
          <w:lang w:val="fr-FR"/>
        </w:rPr>
        <w:t xml:space="preserve"> /aR</w:t>
      </w:r>
      <w:r>
        <w:rPr>
          <w:rFonts w:ascii="Garamond" w:hAnsi="Garamond"/>
          <w:b/>
          <w:sz w:val="24"/>
          <w:szCs w:val="24"/>
          <w:lang w:val="fr-FR"/>
        </w:rPr>
        <w:t>u</w:t>
      </w:r>
      <w:r>
        <w:rPr>
          <w:rFonts w:ascii="Garamond" w:hAnsi="Garamond"/>
          <w:sz w:val="24"/>
          <w:szCs w:val="24"/>
          <w:lang w:val="fr-FR"/>
        </w:rPr>
        <w:t>m</w:t>
      </w:r>
      <w:r>
        <w:rPr>
          <w:rFonts w:ascii="Garamond" w:hAnsi="Times New Roman"/>
          <w:sz w:val="24"/>
          <w:szCs w:val="24"/>
          <w:lang w:val="fr-FR"/>
        </w:rPr>
        <w:t>ɛ</w:t>
      </w:r>
      <w:r>
        <w:rPr>
          <w:rFonts w:ascii="Garamond" w:hAnsi="Garamond"/>
          <w:sz w:val="24"/>
          <w:szCs w:val="24"/>
          <w:lang w:val="fr-FR"/>
        </w:rPr>
        <w:t xml:space="preserve">ti/ (baat); </w:t>
      </w:r>
    </w:p>
    <w:p>
      <w:pPr>
        <w:pStyle w:val="33"/>
        <w:numPr>
          <w:ilvl w:val="0"/>
          <w:numId w:val="6"/>
        </w:numPr>
        <w:tabs>
          <w:tab w:val="left" w:pos="270"/>
        </w:tabs>
        <w:spacing w:after="0" w:line="480" w:lineRule="auto"/>
        <w:jc w:val="both"/>
        <w:rPr>
          <w:rFonts w:ascii="Garamond" w:hAnsi="Garamond"/>
          <w:sz w:val="24"/>
          <w:szCs w:val="24"/>
          <w:lang w:val="fr-FR"/>
        </w:rPr>
      </w:pPr>
      <w:r>
        <w:rPr>
          <w:rFonts w:ascii="Garamond" w:hAnsi="Garamond"/>
          <w:sz w:val="24"/>
          <w:szCs w:val="24"/>
          <w:lang w:val="fr-FR"/>
        </w:rPr>
        <w:t>sucre /s</w:t>
      </w:r>
      <w:r>
        <w:rPr>
          <w:rFonts w:ascii="Garamond" w:hAnsi="Garamond"/>
          <w:b/>
          <w:sz w:val="24"/>
          <w:szCs w:val="24"/>
          <w:lang w:val="fr-FR"/>
        </w:rPr>
        <w:t>y</w:t>
      </w:r>
      <w:r>
        <w:rPr>
          <w:rFonts w:ascii="Garamond" w:hAnsi="Garamond"/>
          <w:sz w:val="24"/>
          <w:szCs w:val="24"/>
          <w:lang w:val="fr-FR"/>
        </w:rPr>
        <w:t xml:space="preserve">kR/ (fr) &gt; </w:t>
      </w:r>
      <w:r>
        <w:rPr>
          <w:rFonts w:ascii="Garamond" w:hAnsi="Garamond"/>
          <w:i/>
          <w:sz w:val="24"/>
          <w:szCs w:val="24"/>
          <w:lang w:val="fr-FR"/>
        </w:rPr>
        <w:t>sukiri</w:t>
      </w:r>
      <w:r>
        <w:rPr>
          <w:rFonts w:ascii="Garamond" w:hAnsi="Garamond"/>
          <w:sz w:val="24"/>
          <w:szCs w:val="24"/>
          <w:lang w:val="fr-FR"/>
        </w:rPr>
        <w:t xml:space="preserve"> /s</w:t>
      </w:r>
      <w:r>
        <w:rPr>
          <w:rFonts w:ascii="Garamond" w:hAnsi="Garamond"/>
          <w:b/>
          <w:sz w:val="24"/>
          <w:szCs w:val="24"/>
          <w:lang w:val="fr-FR"/>
        </w:rPr>
        <w:t>u</w:t>
      </w:r>
      <w:r>
        <w:rPr>
          <w:rFonts w:ascii="Garamond" w:hAnsi="Garamond"/>
          <w:sz w:val="24"/>
          <w:szCs w:val="24"/>
          <w:lang w:val="fr-FR"/>
        </w:rPr>
        <w:t>kiRi/ (baat)</w:t>
      </w:r>
    </w:p>
    <w:p>
      <w:pPr>
        <w:numPr>
          <w:ilvl w:val="0"/>
          <w:numId w:val="5"/>
        </w:numPr>
        <w:tabs>
          <w:tab w:val="left" w:pos="180"/>
          <w:tab w:val="left" w:pos="270"/>
        </w:tabs>
        <w:spacing w:after="0" w:line="480" w:lineRule="auto"/>
        <w:jc w:val="both"/>
        <w:rPr>
          <w:rFonts w:ascii="Garamond" w:hAnsi="Garamond"/>
          <w:b/>
          <w:bCs/>
          <w:sz w:val="24"/>
          <w:szCs w:val="24"/>
        </w:rPr>
      </w:pPr>
      <w:r>
        <w:rPr>
          <w:rFonts w:ascii="Garamond" w:hAnsi="Garamond"/>
          <w:b/>
          <w:bCs/>
          <w:iCs/>
          <w:sz w:val="24"/>
          <w:szCs w:val="24"/>
        </w:rPr>
        <w:t>L’introduction des phonèmes nouveaux</w:t>
      </w:r>
    </w:p>
    <w:p>
      <w:pPr>
        <w:tabs>
          <w:tab w:val="left" w:pos="180"/>
          <w:tab w:val="left" w:pos="270"/>
        </w:tabs>
        <w:spacing w:after="0" w:line="480" w:lineRule="auto"/>
        <w:ind w:left="540"/>
        <w:jc w:val="both"/>
        <w:rPr>
          <w:rFonts w:ascii="Garamond" w:hAnsi="Garamond"/>
          <w:sz w:val="24"/>
          <w:szCs w:val="24"/>
        </w:rPr>
      </w:pPr>
      <w:r>
        <w:rPr>
          <w:rFonts w:ascii="Garamond" w:hAnsi="Garamond"/>
          <w:sz w:val="24"/>
          <w:szCs w:val="24"/>
        </w:rPr>
        <w:t xml:space="preserve">L’introduction des phonèmes nouveaux ou l’allongement, est la stratégie d'adaptation la plus courante des emprunteurs de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est le processus qui consiste à insérer une voyelle pour rendre un mot plus prononçable. Comme la négligence, l’allongement est généralement utilisé pour décomposer les groupes de consonnes qui donnent aux locuteurs baatonu une extrême difficulté dans la prononciation du mot. Par exemple, la langue </w:t>
      </w:r>
      <w:r>
        <w:rPr>
          <w:rFonts w:ascii="Garamond" w:hAnsi="Garamond"/>
          <w:i/>
          <w:sz w:val="24"/>
          <w:szCs w:val="24"/>
        </w:rPr>
        <w:t>baat</w:t>
      </w:r>
      <w:r>
        <w:rPr>
          <w:rFonts w:ascii="Times New Roman" w:hAnsi="Times New Roman"/>
          <w:i/>
          <w:sz w:val="24"/>
          <w:szCs w:val="24"/>
        </w:rPr>
        <w:t>ɔ</w:t>
      </w:r>
      <w:r>
        <w:rPr>
          <w:rFonts w:ascii="Garamond" w:hAnsi="Garamond"/>
          <w:i/>
          <w:sz w:val="24"/>
          <w:szCs w:val="24"/>
        </w:rPr>
        <w:t>num</w:t>
      </w:r>
      <w:r>
        <w:rPr>
          <w:rFonts w:ascii="Garamond" w:hAnsi="Garamond"/>
          <w:sz w:val="24"/>
          <w:szCs w:val="24"/>
        </w:rPr>
        <w:t xml:space="preserve"> a emprunté le mot litre, phonétiquement [litR], au français. Bien que la phonologie française et la structure syllabique permettent aux anglophones de placer les consonnes /t/ et /R/ l'une à côté de l'autre, les baatonuphones trouvent cette combinaison presque impossible à prononcer sans adaptation. Ainsi, ils modifient la prononciation en insérant une voyelle entre les groupes consonantiques /t/ et /R/ résultant de la prononciation finale /litiri/. Voici d’autres exemples :</w:t>
      </w:r>
    </w:p>
    <w:p>
      <w:pPr>
        <w:numPr>
          <w:ilvl w:val="0"/>
          <w:numId w:val="7"/>
        </w:numPr>
        <w:tabs>
          <w:tab w:val="left" w:pos="180"/>
          <w:tab w:val="left" w:pos="270"/>
        </w:tabs>
        <w:spacing w:after="0" w:line="480" w:lineRule="auto"/>
        <w:jc w:val="both"/>
        <w:rPr>
          <w:rFonts w:ascii="Garamond" w:hAnsi="Garamond"/>
          <w:sz w:val="24"/>
          <w:szCs w:val="24"/>
        </w:rPr>
      </w:pPr>
      <w:r>
        <w:rPr>
          <w:rFonts w:ascii="Garamond" w:hAnsi="Garamond"/>
          <w:sz w:val="24"/>
          <w:szCs w:val="24"/>
        </w:rPr>
        <w:t>messe /m</w:t>
      </w:r>
      <w:r>
        <w:rPr>
          <w:rFonts w:ascii="Garamond" w:hAnsi="Times New Roman"/>
          <w:sz w:val="24"/>
          <w:szCs w:val="24"/>
        </w:rPr>
        <w:t>ԑ</w:t>
      </w:r>
      <w:r>
        <w:rPr>
          <w:rFonts w:ascii="Garamond" w:hAnsi="Garamond"/>
          <w:sz w:val="24"/>
          <w:szCs w:val="24"/>
        </w:rPr>
        <w:t xml:space="preserve">s/ (fr)     &gt;     </w:t>
      </w:r>
      <w:r>
        <w:rPr>
          <w:rFonts w:ascii="Garamond" w:hAnsi="Garamond"/>
          <w:b/>
          <w:i/>
          <w:sz w:val="24"/>
          <w:szCs w:val="24"/>
        </w:rPr>
        <w:t>a</w:t>
      </w:r>
      <w:r>
        <w:rPr>
          <w:rFonts w:ascii="Garamond" w:hAnsi="Garamond"/>
          <w:i/>
          <w:sz w:val="24"/>
          <w:szCs w:val="24"/>
        </w:rPr>
        <w:t>misa</w:t>
      </w:r>
      <w:r>
        <w:rPr>
          <w:rFonts w:ascii="Garamond" w:hAnsi="Garamond"/>
          <w:sz w:val="24"/>
          <w:szCs w:val="24"/>
        </w:rPr>
        <w:t xml:space="preserve"> /amisa/ (baat) (ajout du phonème /a/)</w:t>
      </w:r>
    </w:p>
    <w:p>
      <w:pPr>
        <w:numPr>
          <w:ilvl w:val="0"/>
          <w:numId w:val="7"/>
        </w:numPr>
        <w:tabs>
          <w:tab w:val="left" w:pos="270"/>
        </w:tabs>
        <w:spacing w:after="0" w:line="480" w:lineRule="auto"/>
        <w:jc w:val="both"/>
        <w:rPr>
          <w:rFonts w:ascii="Garamond" w:hAnsi="Garamond"/>
          <w:sz w:val="24"/>
          <w:szCs w:val="24"/>
        </w:rPr>
      </w:pPr>
      <w:r>
        <w:rPr>
          <w:rFonts w:ascii="Garamond" w:hAnsi="Garamond" w:eastAsia="Times New Roman"/>
          <w:sz w:val="24"/>
          <w:szCs w:val="24"/>
          <w:lang w:eastAsia="fr-FR"/>
        </w:rPr>
        <w:t>franc /fRa</w:t>
      </w:r>
      <w:r>
        <w:rPr>
          <w:rFonts w:ascii="Times New Roman" w:hAnsi="Times New Roman" w:eastAsia="Times New Roman"/>
          <w:sz w:val="24"/>
          <w:szCs w:val="24"/>
          <w:lang w:eastAsia="fr-FR"/>
        </w:rPr>
        <w:t>̃</w:t>
      </w:r>
      <w:r>
        <w:rPr>
          <w:rFonts w:ascii="Garamond" w:hAnsi="Garamond" w:eastAsia="Times New Roman"/>
          <w:sz w:val="24"/>
          <w:szCs w:val="24"/>
          <w:lang w:eastAsia="fr-FR"/>
        </w:rPr>
        <w:t xml:space="preserve">/ (fr)            &gt;        </w:t>
      </w:r>
      <w:r>
        <w:rPr>
          <w:rFonts w:ascii="Garamond" w:hAnsi="Garamond" w:eastAsia="Times New Roman"/>
          <w:i/>
          <w:sz w:val="24"/>
          <w:szCs w:val="24"/>
          <w:lang w:eastAsia="fr-FR"/>
        </w:rPr>
        <w:t>f</w:t>
      </w:r>
      <w:r>
        <w:rPr>
          <w:rFonts w:ascii="Garamond" w:hAnsi="Garamond" w:eastAsia="Times New Roman"/>
          <w:b/>
          <w:i/>
          <w:sz w:val="24"/>
          <w:szCs w:val="24"/>
          <w:lang w:eastAsia="fr-FR"/>
        </w:rPr>
        <w:t>a</w:t>
      </w:r>
      <w:r>
        <w:rPr>
          <w:rFonts w:ascii="Garamond" w:hAnsi="Garamond" w:eastAsia="Times New Roman"/>
          <w:i/>
          <w:sz w:val="24"/>
          <w:szCs w:val="24"/>
          <w:lang w:eastAsia="fr-FR"/>
        </w:rPr>
        <w:t>lam</w:t>
      </w:r>
      <w:r>
        <w:rPr>
          <w:rFonts w:ascii="Garamond" w:hAnsi="Garamond" w:eastAsia="Times New Roman"/>
          <w:sz w:val="24"/>
          <w:szCs w:val="24"/>
          <w:lang w:eastAsia="fr-FR"/>
        </w:rPr>
        <w:t xml:space="preserve"> /falam/ (baat) (adjonction du phonème /a/ à l’intérieur)</w:t>
      </w:r>
    </w:p>
    <w:p>
      <w:pPr>
        <w:numPr>
          <w:ilvl w:val="0"/>
          <w:numId w:val="7"/>
        </w:numPr>
        <w:tabs>
          <w:tab w:val="left" w:pos="270"/>
        </w:tabs>
        <w:spacing w:after="0" w:line="480" w:lineRule="auto"/>
        <w:jc w:val="both"/>
        <w:rPr>
          <w:rFonts w:ascii="Garamond" w:hAnsi="Garamond"/>
          <w:sz w:val="24"/>
          <w:szCs w:val="24"/>
        </w:rPr>
      </w:pPr>
      <w:r>
        <w:rPr>
          <w:rFonts w:ascii="Garamond" w:hAnsi="Garamond"/>
          <w:sz w:val="24"/>
          <w:szCs w:val="24"/>
        </w:rPr>
        <w:t xml:space="preserve">groupe /gRup/ (fr)       &gt;  </w:t>
      </w:r>
      <w:r>
        <w:rPr>
          <w:rFonts w:ascii="Garamond" w:hAnsi="Garamond"/>
          <w:i/>
          <w:sz w:val="24"/>
          <w:szCs w:val="24"/>
        </w:rPr>
        <w:t>gurupu</w:t>
      </w:r>
      <w:r>
        <w:rPr>
          <w:rFonts w:ascii="Garamond" w:hAnsi="Garamond"/>
          <w:sz w:val="24"/>
          <w:szCs w:val="24"/>
        </w:rPr>
        <w:t xml:space="preserve"> /gurupu/ (baat) (adjonction du phonème /u/ à l’intérieur)</w:t>
      </w:r>
    </w:p>
    <w:p>
      <w:pPr>
        <w:numPr>
          <w:ilvl w:val="0"/>
          <w:numId w:val="7"/>
        </w:numPr>
        <w:tabs>
          <w:tab w:val="left" w:pos="270"/>
          <w:tab w:val="left" w:pos="450"/>
        </w:tabs>
        <w:spacing w:after="0" w:line="480" w:lineRule="auto"/>
        <w:jc w:val="both"/>
        <w:rPr>
          <w:rFonts w:ascii="Garamond" w:hAnsi="Garamond"/>
          <w:sz w:val="24"/>
          <w:szCs w:val="24"/>
        </w:rPr>
      </w:pPr>
      <w:r>
        <w:rPr>
          <w:rFonts w:ascii="Garamond" w:hAnsi="Garamond"/>
          <w:sz w:val="24"/>
          <w:szCs w:val="24"/>
        </w:rPr>
        <w:t xml:space="preserve">gaz /gaz/ (fr)   &gt;     </w:t>
      </w:r>
      <w:r>
        <w:rPr>
          <w:rFonts w:ascii="Garamond" w:hAnsi="Garamond"/>
          <w:i/>
          <w:sz w:val="24"/>
          <w:szCs w:val="24"/>
        </w:rPr>
        <w:t>gaas</w:t>
      </w:r>
      <w:r>
        <w:rPr>
          <w:rFonts w:ascii="Garamond" w:hAnsi="Garamond"/>
          <w:b/>
          <w:i/>
          <w:sz w:val="24"/>
          <w:szCs w:val="24"/>
        </w:rPr>
        <w:t>i</w:t>
      </w:r>
      <w:r>
        <w:rPr>
          <w:rFonts w:ascii="Garamond" w:hAnsi="Garamond"/>
          <w:i/>
          <w:sz w:val="24"/>
          <w:szCs w:val="24"/>
        </w:rPr>
        <w:t xml:space="preserve"> </w:t>
      </w:r>
      <w:r>
        <w:rPr>
          <w:rFonts w:ascii="Garamond" w:hAnsi="Garamond"/>
          <w:sz w:val="24"/>
          <w:szCs w:val="24"/>
        </w:rPr>
        <w:t>/ga:si/ (baat) (ajout du phonème /i/)</w:t>
      </w:r>
    </w:p>
    <w:p>
      <w:pPr>
        <w:numPr>
          <w:ilvl w:val="0"/>
          <w:numId w:val="7"/>
        </w:numPr>
        <w:tabs>
          <w:tab w:val="left" w:pos="270"/>
          <w:tab w:val="left" w:pos="450"/>
        </w:tabs>
        <w:spacing w:after="0" w:line="480" w:lineRule="auto"/>
        <w:jc w:val="both"/>
        <w:rPr>
          <w:rFonts w:ascii="Garamond" w:hAnsi="Garamond"/>
          <w:sz w:val="24"/>
          <w:szCs w:val="24"/>
        </w:rPr>
      </w:pPr>
      <w:r>
        <w:rPr>
          <w:rFonts w:ascii="Garamond" w:hAnsi="Garamond"/>
          <w:sz w:val="24"/>
          <w:szCs w:val="24"/>
        </w:rPr>
        <w:t xml:space="preserve">sac /sak/ (fr)    &gt; </w:t>
      </w:r>
      <w:r>
        <w:rPr>
          <w:rFonts w:ascii="Garamond" w:hAnsi="Garamond"/>
          <w:i/>
          <w:sz w:val="24"/>
          <w:szCs w:val="24"/>
        </w:rPr>
        <w:t>saki</w:t>
      </w:r>
      <w:r>
        <w:rPr>
          <w:rFonts w:ascii="Garamond" w:hAnsi="Garamond"/>
          <w:sz w:val="24"/>
          <w:szCs w:val="24"/>
        </w:rPr>
        <w:t xml:space="preserve"> /sak</w:t>
      </w:r>
      <w:r>
        <w:rPr>
          <w:rFonts w:ascii="Garamond" w:hAnsi="Garamond"/>
          <w:b/>
          <w:sz w:val="24"/>
          <w:szCs w:val="24"/>
        </w:rPr>
        <w:t>i</w:t>
      </w:r>
      <w:r>
        <w:rPr>
          <w:rFonts w:ascii="Garamond" w:hAnsi="Garamond"/>
          <w:sz w:val="24"/>
          <w:szCs w:val="24"/>
        </w:rPr>
        <w:t>/ (baat) (ajout du phonème /i/)</w:t>
      </w:r>
      <w:bookmarkStart w:id="3" w:name="_GoBack"/>
      <w:bookmarkEnd w:id="3"/>
    </w:p>
    <w:p>
      <w:pPr>
        <w:tabs>
          <w:tab w:val="left" w:pos="270"/>
          <w:tab w:val="left" w:pos="450"/>
          <w:tab w:val="left" w:pos="540"/>
        </w:tabs>
        <w:spacing w:after="0" w:line="480" w:lineRule="auto"/>
        <w:jc w:val="both"/>
        <w:rPr>
          <w:rFonts w:ascii="Garamond" w:hAnsi="Garamond"/>
          <w:b/>
          <w:sz w:val="24"/>
          <w:szCs w:val="24"/>
        </w:rPr>
      </w:pPr>
    </w:p>
    <w:p>
      <w:pPr>
        <w:spacing w:line="480" w:lineRule="auto"/>
        <w:jc w:val="both"/>
        <w:rPr>
          <w:rFonts w:ascii="Garamond" w:hAnsi="Garamond"/>
          <w:b/>
          <w:sz w:val="24"/>
          <w:szCs w:val="24"/>
        </w:rPr>
      </w:pPr>
      <w:r>
        <w:rPr>
          <w:rFonts w:ascii="Garamond" w:hAnsi="Garamond"/>
          <w:b/>
          <w:sz w:val="24"/>
          <w:szCs w:val="24"/>
        </w:rPr>
        <w:t>Conclusion</w:t>
      </w:r>
    </w:p>
    <w:p>
      <w:pPr>
        <w:spacing w:line="480" w:lineRule="auto"/>
        <w:jc w:val="both"/>
        <w:rPr>
          <w:rFonts w:ascii="Garamond" w:hAnsi="Garamond"/>
          <w:strike/>
          <w:sz w:val="24"/>
          <w:szCs w:val="24"/>
        </w:rPr>
      </w:pPr>
      <w:r>
        <w:rPr>
          <w:rFonts w:ascii="Garamond" w:hAnsi="Garamond"/>
          <w:sz w:val="24"/>
          <w:szCs w:val="24"/>
        </w:rPr>
        <w:t xml:space="preserve">Dans cette étude, nous avons identifié et expliqué quelques emprunts de source française en </w:t>
      </w:r>
      <w:r>
        <w:rPr>
          <w:rFonts w:ascii="Garamond" w:hAnsi="Garamond"/>
          <w:i/>
          <w:sz w:val="24"/>
          <w:szCs w:val="24"/>
        </w:rPr>
        <w:t>baatonum</w:t>
      </w:r>
      <w:r>
        <w:rPr>
          <w:rFonts w:ascii="Garamond" w:hAnsi="Garamond"/>
          <w:sz w:val="24"/>
          <w:szCs w:val="24"/>
        </w:rPr>
        <w:t xml:space="preserve">. Ce travail a permis de révéler comment le lexique </w:t>
      </w:r>
      <w:r>
        <w:rPr>
          <w:rFonts w:ascii="Garamond" w:hAnsi="Garamond"/>
          <w:i/>
          <w:sz w:val="24"/>
          <w:szCs w:val="24"/>
        </w:rPr>
        <w:t>baatonum</w:t>
      </w:r>
      <w:r>
        <w:rPr>
          <w:rFonts w:ascii="Garamond" w:hAnsi="Garamond"/>
          <w:sz w:val="24"/>
          <w:szCs w:val="24"/>
        </w:rPr>
        <w:t xml:space="preserve"> s’enrichit de plusieurs mots venant du français. L'étude a également révélé que la plupart des emprunts identifiés au cours de cette recherche provenaient de la langue française. Il faut noter qu’il existe aussi quelques emprunts en </w:t>
      </w:r>
      <w:r>
        <w:rPr>
          <w:rFonts w:ascii="Garamond" w:hAnsi="Garamond"/>
          <w:i/>
          <w:sz w:val="24"/>
          <w:szCs w:val="24"/>
        </w:rPr>
        <w:t>baatonum</w:t>
      </w:r>
      <w:r>
        <w:rPr>
          <w:rFonts w:ascii="Garamond" w:hAnsi="Garamond"/>
          <w:sz w:val="24"/>
          <w:szCs w:val="24"/>
        </w:rPr>
        <w:t xml:space="preserve"> provenant des langues africaines telles que le yoruba, le haussa, le zerma, le dendi etc. On s'attendait à ce qu'il y ait plus de mots d'emprunt du français puisque le français joue le rôle de langue internationale et commerciale au Bénin, pays où le </w:t>
      </w:r>
      <w:r>
        <w:rPr>
          <w:rFonts w:ascii="Garamond" w:hAnsi="Garamond"/>
          <w:i/>
          <w:sz w:val="24"/>
          <w:szCs w:val="24"/>
        </w:rPr>
        <w:t>baatonum</w:t>
      </w:r>
      <w:r>
        <w:rPr>
          <w:rFonts w:ascii="Garamond" w:hAnsi="Garamond"/>
          <w:sz w:val="24"/>
          <w:szCs w:val="24"/>
        </w:rPr>
        <w:t xml:space="preserve"> est couramment parlé par les béninois. </w:t>
      </w:r>
    </w:p>
    <w:p>
      <w:pPr>
        <w:spacing w:line="480" w:lineRule="auto"/>
        <w:jc w:val="both"/>
        <w:rPr>
          <w:rFonts w:ascii="Garamond" w:hAnsi="Garamond"/>
          <w:sz w:val="24"/>
          <w:szCs w:val="24"/>
        </w:rPr>
      </w:pPr>
      <w:r>
        <w:rPr>
          <w:rFonts w:ascii="Garamond" w:hAnsi="Garamond"/>
          <w:sz w:val="24"/>
          <w:szCs w:val="24"/>
        </w:rPr>
        <w:t xml:space="preserve">L’étude a également révélé que les mots d'emprunt peuvent être étrangers mais en cours de </w:t>
      </w:r>
      <w:r>
        <w:rPr>
          <w:rFonts w:ascii="Garamond" w:hAnsi="Garamond"/>
          <w:i/>
          <w:sz w:val="24"/>
          <w:szCs w:val="24"/>
        </w:rPr>
        <w:t>nativation</w:t>
      </w:r>
      <w:r>
        <w:rPr>
          <w:rFonts w:ascii="Garamond" w:hAnsi="Garamond"/>
          <w:sz w:val="24"/>
          <w:szCs w:val="24"/>
        </w:rPr>
        <w:t xml:space="preserve">, ils ont également acquis une prononciation qui est différente de celle du mot d’origine. La prononciation de ces emprunts a été soumise à l'intonation et à la syllabation de la langue </w:t>
      </w:r>
      <w:r>
        <w:rPr>
          <w:rFonts w:ascii="Garamond" w:hAnsi="Garamond"/>
          <w:i/>
          <w:sz w:val="24"/>
          <w:szCs w:val="24"/>
        </w:rPr>
        <w:t>baatonum</w:t>
      </w:r>
      <w:r>
        <w:rPr>
          <w:rFonts w:ascii="Garamond" w:hAnsi="Garamond"/>
          <w:sz w:val="24"/>
          <w:szCs w:val="24"/>
        </w:rPr>
        <w:t xml:space="preserve">. Cette distinction des prononciations et de syllabation permettait aux locuteurs </w:t>
      </w:r>
      <w:r>
        <w:rPr>
          <w:rFonts w:ascii="Garamond" w:hAnsi="Garamond"/>
          <w:i/>
          <w:sz w:val="24"/>
          <w:szCs w:val="24"/>
        </w:rPr>
        <w:t>baatonu</w:t>
      </w:r>
      <w:r>
        <w:rPr>
          <w:rFonts w:ascii="Garamond" w:hAnsi="Garamond"/>
          <w:sz w:val="24"/>
          <w:szCs w:val="24"/>
        </w:rPr>
        <w:t xml:space="preserve"> d'identifier les mots d'emprunt de façon plus distincte, sinon ces mots empruntés pourraient ne pas être immédiatement reconnaissables. Nous avons également déduit que le processus d'apprentissage des mots empruntés par les locuteurs </w:t>
      </w:r>
      <w:r>
        <w:rPr>
          <w:rFonts w:ascii="Garamond" w:hAnsi="Garamond"/>
          <w:i/>
          <w:sz w:val="24"/>
          <w:szCs w:val="24"/>
        </w:rPr>
        <w:t>baatombu</w:t>
      </w:r>
      <w:r>
        <w:rPr>
          <w:rFonts w:ascii="Garamond" w:hAnsi="Garamond"/>
          <w:sz w:val="24"/>
          <w:szCs w:val="24"/>
        </w:rPr>
        <w:t xml:space="preserve"> devrait devenir un processus plus facile lorsque les systèmes de prononciation seront rationalisés. </w:t>
      </w:r>
    </w:p>
    <w:p>
      <w:pPr>
        <w:spacing w:line="480" w:lineRule="auto"/>
        <w:jc w:val="both"/>
        <w:rPr>
          <w:rFonts w:ascii="Garamond" w:hAnsi="Garamond"/>
          <w:sz w:val="24"/>
          <w:szCs w:val="24"/>
        </w:rPr>
      </w:pPr>
    </w:p>
    <w:p>
      <w:pPr>
        <w:spacing w:after="0" w:line="240" w:lineRule="auto"/>
        <w:ind w:left="900" w:hanging="900"/>
        <w:rPr>
          <w:rFonts w:ascii="Garamond" w:hAnsi="Garamond"/>
          <w:b/>
          <w:sz w:val="24"/>
          <w:szCs w:val="24"/>
          <w:lang w:val="en-US"/>
        </w:rPr>
      </w:pPr>
      <w:r>
        <w:rPr>
          <w:rFonts w:ascii="Garamond" w:hAnsi="Garamond"/>
          <w:b/>
          <w:sz w:val="24"/>
          <w:szCs w:val="24"/>
          <w:lang w:val="en-US"/>
        </w:rPr>
        <w:t>Bibliographie</w:t>
      </w:r>
    </w:p>
    <w:p>
      <w:pPr>
        <w:pStyle w:val="33"/>
        <w:spacing w:after="0" w:line="240" w:lineRule="auto"/>
        <w:ind w:left="851" w:hanging="851"/>
        <w:jc w:val="both"/>
        <w:rPr>
          <w:rFonts w:ascii="Garamond" w:hAnsi="Garamond"/>
          <w:sz w:val="24"/>
          <w:szCs w:val="24"/>
          <w:lang w:val="en-CA"/>
        </w:rPr>
      </w:pPr>
      <w:r>
        <w:rPr>
          <w:rFonts w:ascii="Garamond" w:hAnsi="Garamond"/>
          <w:sz w:val="24"/>
          <w:szCs w:val="24"/>
          <w:lang w:val="en-CA"/>
        </w:rPr>
        <w:t>Ahmad, A. O. (2013): “Borrowing and clipping as means of language enrichment: A study of Arabic personal Names in Baat</w:t>
      </w:r>
      <w:r>
        <w:rPr>
          <w:rFonts w:ascii="Times New Roman" w:hAnsi="Times New Roman"/>
          <w:sz w:val="24"/>
          <w:szCs w:val="24"/>
          <w:lang w:val="en-CA"/>
        </w:rPr>
        <w:t>ɔ</w:t>
      </w:r>
      <w:r>
        <w:rPr>
          <w:rFonts w:ascii="Garamond" w:hAnsi="Garamond"/>
          <w:sz w:val="24"/>
          <w:szCs w:val="24"/>
          <w:lang w:val="en-CA"/>
        </w:rPr>
        <w:t xml:space="preserve">num”, </w:t>
      </w:r>
      <w:r>
        <w:rPr>
          <w:rFonts w:ascii="Garamond" w:hAnsi="Garamond"/>
          <w:i/>
          <w:sz w:val="24"/>
          <w:szCs w:val="24"/>
          <w:lang w:val="en-CA"/>
        </w:rPr>
        <w:t>Allawh: journal of Arabic and Islamic Studies</w:t>
      </w:r>
      <w:r>
        <w:rPr>
          <w:rFonts w:ascii="Garamond" w:hAnsi="Garamond"/>
          <w:sz w:val="24"/>
          <w:szCs w:val="24"/>
          <w:lang w:val="en-CA"/>
        </w:rPr>
        <w:t>, Vol 3, No. 1 pp. 227-243.</w:t>
      </w:r>
    </w:p>
    <w:p>
      <w:pPr>
        <w:spacing w:after="0" w:line="240" w:lineRule="auto"/>
        <w:ind w:left="900" w:hanging="900"/>
        <w:jc w:val="both"/>
        <w:rPr>
          <w:rFonts w:ascii="Garamond" w:hAnsi="Garamond"/>
          <w:sz w:val="24"/>
          <w:szCs w:val="24"/>
          <w:lang w:val="fr-CA"/>
        </w:rPr>
      </w:pPr>
      <w:r>
        <w:rPr>
          <w:rFonts w:ascii="Garamond" w:hAnsi="Garamond"/>
          <w:sz w:val="24"/>
          <w:szCs w:val="24"/>
          <w:lang w:val="fr-CA"/>
        </w:rPr>
        <w:t xml:space="preserve">Ajiboye, T. (1998): “Les emprunts français et la presse Anglophone: l’exemple du Nigeria” In Queffelec A. (ed) : </w:t>
      </w:r>
      <w:r>
        <w:rPr>
          <w:rFonts w:ascii="Garamond" w:hAnsi="Garamond"/>
          <w:i/>
          <w:sz w:val="24"/>
          <w:szCs w:val="24"/>
          <w:lang w:val="fr-CA"/>
        </w:rPr>
        <w:t>Le français en Afrique Francophone. Recueil d’études offert en hommage à Suzanne Lafage</w:t>
      </w:r>
      <w:r>
        <w:rPr>
          <w:rFonts w:ascii="Garamond" w:hAnsi="Garamond"/>
          <w:sz w:val="24"/>
          <w:szCs w:val="24"/>
          <w:lang w:val="fr-CA"/>
        </w:rPr>
        <w:t>, No 2, Paris, Didier Érudition, pp. 1-21.</w:t>
      </w:r>
    </w:p>
    <w:p>
      <w:pPr>
        <w:pStyle w:val="33"/>
        <w:tabs>
          <w:tab w:val="left" w:pos="90"/>
        </w:tabs>
        <w:spacing w:after="0" w:line="240" w:lineRule="auto"/>
        <w:ind w:left="851" w:hanging="851"/>
        <w:jc w:val="both"/>
        <w:rPr>
          <w:rFonts w:ascii="Garamond" w:hAnsi="Garamond"/>
          <w:sz w:val="24"/>
          <w:szCs w:val="24"/>
          <w:lang w:val="fr-FR"/>
        </w:rPr>
      </w:pPr>
      <w:r>
        <w:rPr>
          <w:rFonts w:ascii="Garamond" w:hAnsi="Garamond"/>
          <w:sz w:val="24"/>
          <w:szCs w:val="24"/>
          <w:lang w:val="fr-FR"/>
        </w:rPr>
        <w:t xml:space="preserve">Bariki, O. (1999) : « Le français au Nigeria : Historique, Statut et importance » in Nnoruka M. (Ed.) : </w:t>
      </w:r>
      <w:r>
        <w:rPr>
          <w:rFonts w:ascii="Garamond" w:hAnsi="Garamond"/>
          <w:i/>
          <w:sz w:val="24"/>
          <w:szCs w:val="24"/>
          <w:lang w:val="fr-FR"/>
        </w:rPr>
        <w:t>Cours de langue et de littérature française</w:t>
      </w:r>
      <w:r>
        <w:rPr>
          <w:rFonts w:ascii="Garamond" w:hAnsi="Garamond"/>
          <w:sz w:val="24"/>
          <w:szCs w:val="24"/>
          <w:lang w:val="fr-FR"/>
        </w:rPr>
        <w:t xml:space="preserve">. Publication de la section française, département de langues vivantes européennes, université d’Ilorin, Ilorin, Nigeria. pp.22-32 </w:t>
      </w:r>
    </w:p>
    <w:p>
      <w:pPr>
        <w:tabs>
          <w:tab w:val="left" w:pos="-90"/>
          <w:tab w:val="left" w:pos="90"/>
        </w:tabs>
        <w:spacing w:after="0" w:line="240" w:lineRule="auto"/>
        <w:ind w:left="900" w:hanging="900"/>
        <w:jc w:val="both"/>
        <w:rPr>
          <w:rFonts w:ascii="Garamond" w:hAnsi="Garamond"/>
          <w:sz w:val="24"/>
          <w:szCs w:val="24"/>
        </w:rPr>
      </w:pPr>
      <w:r>
        <w:rPr>
          <w:rFonts w:ascii="Garamond" w:hAnsi="Garamond"/>
          <w:sz w:val="24"/>
          <w:szCs w:val="24"/>
        </w:rPr>
        <w:t xml:space="preserve">Bitjaa, Kody Zachée Denis (2004) : </w:t>
      </w:r>
      <w:r>
        <w:rPr>
          <w:rFonts w:ascii="Garamond" w:hAnsi="Garamond"/>
          <w:i/>
          <w:sz w:val="24"/>
          <w:szCs w:val="24"/>
        </w:rPr>
        <w:t>La dynamique des langues camerounais en contact avec le français</w:t>
      </w:r>
      <w:r>
        <w:rPr>
          <w:rFonts w:ascii="Garamond" w:hAnsi="Garamond"/>
          <w:sz w:val="24"/>
          <w:szCs w:val="24"/>
        </w:rPr>
        <w:t>, thèse de doctorat d’état en sociolinguistique, Université de Yaoundé, Cameroun.</w:t>
      </w:r>
    </w:p>
    <w:p>
      <w:pPr>
        <w:tabs>
          <w:tab w:val="left" w:pos="90"/>
          <w:tab w:val="left" w:pos="270"/>
        </w:tabs>
        <w:spacing w:after="0" w:line="240" w:lineRule="auto"/>
        <w:ind w:left="900" w:hanging="900"/>
        <w:contextualSpacing/>
        <w:jc w:val="both"/>
        <w:rPr>
          <w:rFonts w:ascii="Garamond" w:hAnsi="Garamond" w:eastAsia="Times New Roman"/>
          <w:sz w:val="24"/>
          <w:szCs w:val="24"/>
        </w:rPr>
      </w:pPr>
      <w:r>
        <w:rPr>
          <w:rFonts w:ascii="Garamond" w:hAnsi="Garamond" w:eastAsia="Times New Roman"/>
          <w:sz w:val="24"/>
          <w:szCs w:val="24"/>
        </w:rPr>
        <w:t xml:space="preserve">Boutmgharine, N. (2014) : </w:t>
      </w:r>
      <w:r>
        <w:rPr>
          <w:rFonts w:ascii="Garamond" w:hAnsi="Garamond" w:eastAsia="Times New Roman"/>
          <w:i/>
          <w:sz w:val="24"/>
          <w:szCs w:val="24"/>
        </w:rPr>
        <w:t>Emprunts et alternance codique dans la presse marocaine d’expression française</w:t>
      </w:r>
      <w:r>
        <w:rPr>
          <w:rFonts w:ascii="Garamond" w:hAnsi="Garamond" w:eastAsia="Times New Roman"/>
          <w:sz w:val="24"/>
          <w:szCs w:val="24"/>
        </w:rPr>
        <w:t>, Thèse de doctorat en Sciences du langage, Université Paris Diderot-Paris 7.</w:t>
      </w:r>
    </w:p>
    <w:p>
      <w:pPr>
        <w:pStyle w:val="33"/>
        <w:spacing w:after="0" w:line="240" w:lineRule="auto"/>
        <w:ind w:left="900" w:hanging="900"/>
        <w:jc w:val="both"/>
        <w:rPr>
          <w:rFonts w:ascii="Garamond" w:hAnsi="Garamond" w:eastAsia="Times New Roman"/>
          <w:sz w:val="24"/>
          <w:szCs w:val="24"/>
          <w:lang w:val="fr-FR"/>
        </w:rPr>
      </w:pPr>
      <w:r>
        <w:rPr>
          <w:rFonts w:ascii="Garamond" w:hAnsi="Garamond" w:eastAsia="Times New Roman"/>
          <w:sz w:val="24"/>
          <w:szCs w:val="24"/>
          <w:lang w:val="fr-FR"/>
        </w:rPr>
        <w:t>Deroy, L. (1956).</w:t>
      </w:r>
      <w:r>
        <w:rPr>
          <w:rFonts w:ascii="Garamond" w:hAnsi="Garamond" w:eastAsia="Times New Roman"/>
          <w:i/>
          <w:sz w:val="24"/>
          <w:szCs w:val="24"/>
          <w:lang w:val="fr-FR"/>
        </w:rPr>
        <w:t xml:space="preserve"> L'emprunt linguistique</w:t>
      </w:r>
      <w:r>
        <w:rPr>
          <w:rFonts w:ascii="Garamond" w:hAnsi="Garamond" w:eastAsia="Times New Roman"/>
          <w:sz w:val="24"/>
          <w:szCs w:val="24"/>
          <w:lang w:val="fr-FR"/>
        </w:rPr>
        <w:t>, Paris : Les Belles Lettres.</w:t>
      </w:r>
    </w:p>
    <w:p>
      <w:pPr>
        <w:spacing w:after="0" w:line="240" w:lineRule="auto"/>
        <w:ind w:left="900" w:hanging="900"/>
        <w:jc w:val="both"/>
        <w:rPr>
          <w:rFonts w:ascii="Garamond" w:hAnsi="Garamond"/>
          <w:sz w:val="24"/>
          <w:szCs w:val="24"/>
        </w:rPr>
      </w:pPr>
      <w:r>
        <w:rPr>
          <w:rFonts w:ascii="Garamond" w:hAnsi="Garamond"/>
          <w:sz w:val="24"/>
          <w:szCs w:val="24"/>
        </w:rPr>
        <w:t>Dindi</w:t>
      </w:r>
      <w:r>
        <w:rPr>
          <w:rFonts w:ascii="Garamond" w:hAnsi="Garamond" w:eastAsia="Times New Roman"/>
          <w:sz w:val="24"/>
          <w:szCs w:val="24"/>
          <w:lang w:eastAsia="fr-FR"/>
        </w:rPr>
        <w:t xml:space="preserve">, S. B. J. (1984) : </w:t>
      </w:r>
      <w:r>
        <w:rPr>
          <w:rFonts w:ascii="Garamond" w:hAnsi="Garamond" w:eastAsia="Times New Roman"/>
          <w:i/>
          <w:iCs/>
          <w:sz w:val="24"/>
          <w:szCs w:val="24"/>
          <w:lang w:eastAsia="fr-FR"/>
        </w:rPr>
        <w:t>Le Baat</w:t>
      </w:r>
      <w:r>
        <w:rPr>
          <w:rFonts w:ascii="Times New Roman" w:hAnsi="Times New Roman" w:eastAsia="Times New Roman"/>
          <w:i/>
          <w:iCs/>
          <w:sz w:val="24"/>
          <w:szCs w:val="24"/>
          <w:lang w:eastAsia="fr-FR"/>
        </w:rPr>
        <w:t>ɔ</w:t>
      </w:r>
      <w:r>
        <w:rPr>
          <w:rFonts w:ascii="Garamond" w:hAnsi="Garamond" w:eastAsia="Times New Roman"/>
          <w:i/>
          <w:iCs/>
          <w:sz w:val="24"/>
          <w:szCs w:val="24"/>
          <w:lang w:eastAsia="fr-FR"/>
        </w:rPr>
        <w:t>num : étude phonétique suivie du système des classes nominales et leurs substituts respectifs</w:t>
      </w:r>
      <w:r>
        <w:rPr>
          <w:rFonts w:ascii="Garamond" w:hAnsi="Garamond" w:eastAsia="Times New Roman"/>
          <w:sz w:val="24"/>
          <w:szCs w:val="24"/>
          <w:lang w:eastAsia="fr-FR"/>
        </w:rPr>
        <w:t> (mémoire de maîtrise), FLASH-UNB, Cotonou.</w:t>
      </w:r>
    </w:p>
    <w:p>
      <w:pPr>
        <w:tabs>
          <w:tab w:val="left" w:pos="90"/>
        </w:tabs>
        <w:spacing w:after="0" w:line="240" w:lineRule="auto"/>
        <w:ind w:left="900" w:hanging="900"/>
        <w:jc w:val="both"/>
        <w:rPr>
          <w:rFonts w:ascii="Garamond" w:hAnsi="Garamond"/>
          <w:sz w:val="24"/>
          <w:szCs w:val="24"/>
          <w:lang w:val="en-CA"/>
        </w:rPr>
      </w:pPr>
      <w:r>
        <w:rPr>
          <w:rFonts w:ascii="Garamond" w:hAnsi="Garamond"/>
          <w:sz w:val="24"/>
          <w:szCs w:val="24"/>
        </w:rPr>
        <w:t xml:space="preserve">Garba, M. (2012) : «Le contact des langues takéte et français : le cas des interférences phonétiques dans l’acquisition de la langue seconde L2 » in Bariki I., Kuupole D.D. et Kambou M.K (eds) Aspect of Language Variation, Acquisition and Use. </w:t>
      </w:r>
      <w:r>
        <w:rPr>
          <w:rFonts w:ascii="Garamond" w:hAnsi="Garamond"/>
          <w:sz w:val="24"/>
          <w:szCs w:val="24"/>
          <w:lang w:val="en-US"/>
        </w:rPr>
        <w:t>Festschrift for Prof Emmanuel N. Kwofie, University of Cape Coast, the University Press.</w:t>
      </w:r>
      <w:r>
        <w:rPr>
          <w:rFonts w:ascii="Garamond" w:hAnsi="Garamond"/>
          <w:sz w:val="24"/>
          <w:szCs w:val="24"/>
          <w:lang w:val="en-CA"/>
        </w:rPr>
        <w:t>Pp 215- 229.</w:t>
      </w:r>
    </w:p>
    <w:p>
      <w:pPr>
        <w:pStyle w:val="33"/>
        <w:spacing w:after="0" w:line="240" w:lineRule="auto"/>
        <w:ind w:left="900" w:hanging="900"/>
        <w:jc w:val="both"/>
        <w:rPr>
          <w:rFonts w:ascii="Garamond" w:hAnsi="Garamond"/>
          <w:sz w:val="24"/>
          <w:szCs w:val="24"/>
          <w:lang w:val="fr-FR"/>
        </w:rPr>
      </w:pPr>
      <w:r>
        <w:rPr>
          <w:rFonts w:ascii="Garamond" w:hAnsi="Garamond"/>
          <w:sz w:val="24"/>
          <w:szCs w:val="24"/>
          <w:lang w:val="fr-FR"/>
        </w:rPr>
        <w:t xml:space="preserve">Grossenbacher, J.P. (1974): </w:t>
      </w:r>
      <w:r>
        <w:rPr>
          <w:rFonts w:ascii="Garamond" w:hAnsi="Garamond"/>
          <w:i/>
          <w:sz w:val="24"/>
          <w:szCs w:val="24"/>
          <w:lang w:val="fr-FR"/>
        </w:rPr>
        <w:t>Abrégé de grammaire bariba</w:t>
      </w:r>
      <w:r>
        <w:rPr>
          <w:rFonts w:ascii="Garamond" w:hAnsi="Garamond"/>
          <w:sz w:val="24"/>
          <w:szCs w:val="24"/>
          <w:lang w:val="fr-FR"/>
        </w:rPr>
        <w:t>, Parakou, IPRAS.</w:t>
      </w:r>
    </w:p>
    <w:p>
      <w:pPr>
        <w:spacing w:after="0" w:line="240" w:lineRule="auto"/>
        <w:ind w:left="900" w:hanging="900"/>
        <w:jc w:val="both"/>
        <w:rPr>
          <w:rFonts w:ascii="Garamond" w:hAnsi="Garamond"/>
          <w:sz w:val="24"/>
          <w:szCs w:val="24"/>
        </w:rPr>
      </w:pPr>
      <w:r>
        <w:rPr>
          <w:rFonts w:ascii="Garamond" w:hAnsi="Garamond"/>
          <w:sz w:val="24"/>
          <w:szCs w:val="24"/>
        </w:rPr>
        <w:t xml:space="preserve">Le Boulch, P. (1966). </w:t>
      </w:r>
      <w:r>
        <w:rPr>
          <w:rFonts w:ascii="Garamond" w:hAnsi="Garamond"/>
          <w:i/>
          <w:sz w:val="24"/>
          <w:szCs w:val="24"/>
        </w:rPr>
        <w:t>L’enseignement de l’anglais au Sénégal, un cas de trilinguisme</w:t>
      </w:r>
      <w:r>
        <w:rPr>
          <w:rFonts w:ascii="Garamond" w:hAnsi="Garamond"/>
          <w:sz w:val="24"/>
          <w:szCs w:val="24"/>
        </w:rPr>
        <w:t>. Centre Linguistique Appliquée de Dakar.</w:t>
      </w:r>
    </w:p>
    <w:p>
      <w:pPr>
        <w:tabs>
          <w:tab w:val="left" w:pos="90"/>
        </w:tabs>
        <w:spacing w:after="0" w:line="240" w:lineRule="auto"/>
        <w:ind w:left="900" w:hanging="900"/>
        <w:jc w:val="both"/>
        <w:rPr>
          <w:rFonts w:ascii="Garamond" w:hAnsi="Garamond"/>
          <w:sz w:val="24"/>
          <w:szCs w:val="24"/>
        </w:rPr>
      </w:pPr>
      <w:r>
        <w:rPr>
          <w:rFonts w:ascii="Garamond" w:hAnsi="Garamond"/>
          <w:sz w:val="24"/>
          <w:szCs w:val="24"/>
        </w:rPr>
        <w:t>Mudimbe, et al.,(1977), « Procédés d'enrichissement du vocabulaire et création de termes nouveaux dans un groupe de langues de l'Afrique Centrale »,</w:t>
      </w:r>
      <w:r>
        <w:fldChar w:fldCharType="begin"/>
      </w:r>
      <w:r>
        <w:instrText xml:space="preserve"> HYPERLINK </w:instrText>
      </w:r>
      <w:r>
        <w:fldChar w:fldCharType="separate"/>
      </w:r>
      <w:r>
        <w:rPr>
          <w:rStyle w:val="20"/>
          <w:rFonts w:ascii="Times New Roman" w:hAnsi="Times New Roman"/>
          <w:sz w:val="24"/>
          <w:szCs w:val="24"/>
        </w:rPr>
        <w:t>http://unesdoc.unesco. org/images/0002/000275/027526fb.pdf</w:t>
      </w:r>
      <w:r>
        <w:rPr>
          <w:rStyle w:val="20"/>
          <w:rFonts w:ascii="Times New Roman" w:hAnsi="Times New Roman"/>
          <w:sz w:val="24"/>
          <w:szCs w:val="24"/>
        </w:rPr>
        <w:fldChar w:fldCharType="end"/>
      </w:r>
      <w:r>
        <w:t xml:space="preserve">  </w:t>
      </w:r>
      <w:r>
        <w:rPr>
          <w:rFonts w:ascii="Garamond" w:hAnsi="Garamond"/>
          <w:sz w:val="24"/>
          <w:szCs w:val="24"/>
        </w:rPr>
        <w:t>consulté le 22/05/2015</w:t>
      </w:r>
    </w:p>
    <w:p>
      <w:pPr>
        <w:spacing w:after="0" w:line="240" w:lineRule="auto"/>
        <w:ind w:left="900" w:hanging="900"/>
        <w:jc w:val="both"/>
        <w:rPr>
          <w:rFonts w:ascii="Garamond" w:hAnsi="Garamond"/>
          <w:sz w:val="24"/>
          <w:szCs w:val="24"/>
        </w:rPr>
      </w:pPr>
      <w:r>
        <w:rPr>
          <w:rFonts w:ascii="Garamond" w:hAnsi="Garamond"/>
          <w:sz w:val="24"/>
          <w:szCs w:val="24"/>
        </w:rPr>
        <w:t xml:space="preserve">Oshounniran, T. A., (2013), </w:t>
      </w:r>
      <w:r>
        <w:rPr>
          <w:rFonts w:ascii="Garamond" w:hAnsi="Garamond"/>
          <w:i/>
          <w:sz w:val="24"/>
          <w:szCs w:val="24"/>
        </w:rPr>
        <w:t>Les emprunts de source anglaise en français et en yoruba : Morphologie et fonctionnement</w:t>
      </w:r>
      <w:r>
        <w:rPr>
          <w:rFonts w:ascii="Garamond" w:hAnsi="Garamond"/>
          <w:sz w:val="24"/>
          <w:szCs w:val="24"/>
        </w:rPr>
        <w:t>. Thèse de doctorat présenté au Département de français, Université d’Ilorin.</w:t>
      </w:r>
    </w:p>
    <w:p>
      <w:pPr>
        <w:pStyle w:val="33"/>
        <w:tabs>
          <w:tab w:val="left" w:pos="-90"/>
        </w:tabs>
        <w:spacing w:after="0" w:line="240" w:lineRule="auto"/>
        <w:ind w:left="900" w:hanging="900"/>
        <w:jc w:val="both"/>
        <w:rPr>
          <w:rFonts w:ascii="Garamond" w:hAnsi="Garamond"/>
          <w:sz w:val="24"/>
          <w:szCs w:val="24"/>
          <w:lang w:val="fr-FR"/>
        </w:rPr>
      </w:pPr>
      <w:r>
        <w:rPr>
          <w:rFonts w:ascii="Garamond" w:hAnsi="Garamond"/>
          <w:sz w:val="24"/>
          <w:szCs w:val="24"/>
          <w:lang w:val="fr-FR"/>
        </w:rPr>
        <w:t xml:space="preserve">Osunniran T.A.&amp; Ibrahim, A.B. (2016) : « Une Réflexion Sur L’adaptation Des Emprunts De Source Française En </w:t>
      </w:r>
      <w:r>
        <w:rPr>
          <w:rFonts w:ascii="Garamond" w:hAnsi="Garamond"/>
          <w:i/>
          <w:sz w:val="24"/>
          <w:szCs w:val="24"/>
          <w:lang w:val="fr-FR"/>
        </w:rPr>
        <w:t>Baat</w:t>
      </w:r>
      <w:r>
        <w:rPr>
          <w:rFonts w:ascii="Times New Roman" w:hAnsi="Times New Roman"/>
          <w:i/>
          <w:sz w:val="24"/>
          <w:szCs w:val="24"/>
          <w:lang w:val="fr-FR"/>
        </w:rPr>
        <w:t>ɔ</w:t>
      </w:r>
      <w:r>
        <w:rPr>
          <w:rFonts w:ascii="Garamond" w:hAnsi="Garamond"/>
          <w:i/>
          <w:sz w:val="24"/>
          <w:szCs w:val="24"/>
          <w:lang w:val="fr-FR"/>
        </w:rPr>
        <w:t>num</w:t>
      </w:r>
      <w:r>
        <w:rPr>
          <w:rFonts w:ascii="Garamond" w:hAnsi="Garamond"/>
          <w:b/>
          <w:i/>
          <w:sz w:val="24"/>
          <w:szCs w:val="24"/>
          <w:lang w:val="fr-FR"/>
        </w:rPr>
        <w:t xml:space="preserve"> » In</w:t>
      </w:r>
      <w:r>
        <w:rPr>
          <w:rFonts w:ascii="Garamond" w:hAnsi="Garamond"/>
          <w:sz w:val="24"/>
          <w:szCs w:val="24"/>
          <w:lang w:val="fr-FR"/>
        </w:rPr>
        <w:t xml:space="preserve"> </w:t>
      </w:r>
      <w:r>
        <w:rPr>
          <w:rFonts w:ascii="Garamond" w:hAnsi="Garamond"/>
          <w:bCs/>
          <w:i/>
          <w:iCs/>
          <w:sz w:val="24"/>
          <w:szCs w:val="24"/>
          <w:lang w:val="fr-FR"/>
        </w:rPr>
        <w:t>Covenant Journal of Language Studies</w:t>
      </w:r>
      <w:r>
        <w:rPr>
          <w:rFonts w:ascii="Garamond" w:hAnsi="Garamond"/>
          <w:bCs/>
          <w:iCs/>
          <w:sz w:val="24"/>
          <w:szCs w:val="24"/>
          <w:lang w:val="fr-FR"/>
        </w:rPr>
        <w:t xml:space="preserve"> (CJLS) Vol. 4, No.1, Pp 54-65.</w:t>
      </w:r>
    </w:p>
    <w:p>
      <w:pPr>
        <w:tabs>
          <w:tab w:val="left" w:pos="90"/>
        </w:tabs>
        <w:spacing w:after="0" w:line="240" w:lineRule="auto"/>
        <w:ind w:left="900" w:hanging="900"/>
        <w:jc w:val="both"/>
        <w:rPr>
          <w:rFonts w:ascii="Garamond" w:hAnsi="Garamond"/>
          <w:sz w:val="24"/>
          <w:szCs w:val="24"/>
        </w:rPr>
      </w:pPr>
      <w:r>
        <w:rPr>
          <w:rFonts w:ascii="Garamond" w:hAnsi="Garamond"/>
          <w:sz w:val="24"/>
          <w:szCs w:val="24"/>
          <w:lang w:val="en-US"/>
        </w:rPr>
        <w:t xml:space="preserve">Winford, D. (2003): </w:t>
      </w:r>
      <w:r>
        <w:rPr>
          <w:rFonts w:ascii="Garamond" w:hAnsi="Garamond"/>
          <w:i/>
          <w:sz w:val="24"/>
          <w:szCs w:val="24"/>
          <w:lang w:val="en-US"/>
        </w:rPr>
        <w:t>An Introduction to Contact Linguistics</w:t>
      </w:r>
      <w:r>
        <w:rPr>
          <w:rFonts w:ascii="Garamond" w:hAnsi="Garamond"/>
          <w:sz w:val="24"/>
          <w:szCs w:val="24"/>
          <w:lang w:val="en-US"/>
        </w:rPr>
        <w:t xml:space="preserve">. </w:t>
      </w:r>
      <w:r>
        <w:rPr>
          <w:rFonts w:ascii="Garamond" w:hAnsi="Garamond"/>
          <w:sz w:val="24"/>
          <w:szCs w:val="24"/>
        </w:rPr>
        <w:t>Oxford : Blackwell Publishing.</w:t>
      </w:r>
    </w:p>
    <w:p>
      <w:pPr>
        <w:spacing w:after="0" w:line="240" w:lineRule="auto"/>
        <w:ind w:left="900" w:hanging="900"/>
        <w:jc w:val="both"/>
        <w:rPr>
          <w:rFonts w:ascii="Garamond" w:hAnsi="Garamond" w:eastAsia="Times New Roman"/>
          <w:sz w:val="24"/>
          <w:szCs w:val="24"/>
          <w:lang w:eastAsia="fr-FR"/>
        </w:rPr>
      </w:pPr>
      <w:r>
        <w:rPr>
          <w:rFonts w:ascii="Garamond" w:hAnsi="Garamond"/>
          <w:sz w:val="24"/>
          <w:szCs w:val="24"/>
        </w:rPr>
        <w:t xml:space="preserve">Yamaro G. B (2005) : </w:t>
      </w:r>
      <w:r>
        <w:rPr>
          <w:rFonts w:ascii="Garamond" w:hAnsi="Garamond"/>
          <w:bCs/>
          <w:i/>
          <w:sz w:val="24"/>
          <w:szCs w:val="24"/>
          <w:lang w:eastAsia="fr-FR"/>
        </w:rPr>
        <w:t>Le Baat</w:t>
      </w:r>
      <w:r>
        <w:rPr>
          <w:rFonts w:ascii="Times New Roman" w:hAnsi="Times New Roman"/>
          <w:bCs/>
          <w:i/>
          <w:sz w:val="24"/>
          <w:szCs w:val="24"/>
          <w:lang w:eastAsia="fr-FR"/>
        </w:rPr>
        <w:t>ɔ</w:t>
      </w:r>
      <w:r>
        <w:rPr>
          <w:rFonts w:ascii="Garamond" w:hAnsi="Garamond"/>
          <w:bCs/>
          <w:i/>
          <w:sz w:val="24"/>
          <w:szCs w:val="24"/>
          <w:lang w:eastAsia="fr-FR"/>
        </w:rPr>
        <w:t xml:space="preserve">num : « Étude Morphologique des Particularités du Nominal des Parlers </w:t>
      </w:r>
      <w:r>
        <w:rPr>
          <w:rFonts w:ascii="Garamond" w:hAnsi="Garamond" w:eastAsia="Times New Roman"/>
          <w:sz w:val="24"/>
          <w:szCs w:val="24"/>
          <w:lang w:eastAsia="fr-FR"/>
        </w:rPr>
        <w:t>(mémoire de maîtrise), FLASH-UNB, Cotonou.</w:t>
      </w:r>
    </w:p>
    <w:sectPr>
      <w:footerReference r:id="rId5" w:type="default"/>
      <w:pgSz w:w="12240" w:h="15840"/>
      <w:pgMar w:top="1440" w:right="1440" w:bottom="1440" w:left="1440" w:header="720" w:footer="720" w:gutter="0"/>
      <w:pgNumType w:start="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goe UI">
    <w:panose1 w:val="020B0502040204020203"/>
    <w:charset w:val="00"/>
    <w:family w:val="swiss"/>
    <w:pitch w:val="default"/>
    <w:sig w:usb0="E4002EFF" w:usb1="C000E47F" w:usb2="00000009" w:usb3="00000000" w:csb0="200001FF" w:csb1="00000000"/>
  </w:font>
  <w:font w:name="Garamond">
    <w:panose1 w:val="02020404030301010803"/>
    <w:charset w:val="00"/>
    <w:family w:val="roman"/>
    <w:pitch w:val="default"/>
    <w:sig w:usb0="00000287" w:usb1="00000000" w:usb2="00000000" w:usb3="00000000" w:csb0="0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fldChar w:fldCharType="begin"/>
    </w:r>
    <w:r>
      <w:instrText xml:space="preserve"> PAGE   \* MERGEFORMAT </w:instrText>
    </w:r>
    <w:r>
      <w:fldChar w:fldCharType="separate"/>
    </w:r>
    <w:r>
      <w:t>4</w:t>
    </w:r>
    <w:r>
      <w:fldChar w:fldCharType="end"/>
    </w:r>
  </w:p>
  <w:p>
    <w:pPr>
      <w:pStyle w:val="1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1B75F9"/>
    <w:multiLevelType w:val="multilevel"/>
    <w:tmpl w:val="201B75F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2698406E"/>
    <w:multiLevelType w:val="multilevel"/>
    <w:tmpl w:val="2698406E"/>
    <w:lvl w:ilvl="0" w:tentative="0">
      <w:start w:val="1"/>
      <w:numFmt w:val="decimal"/>
      <w:pStyle w:val="2"/>
      <w:lvlText w:val="%1"/>
      <w:lvlJc w:val="left"/>
      <w:pPr>
        <w:ind w:left="432" w:hanging="432"/>
      </w:pPr>
    </w:lvl>
    <w:lvl w:ilvl="1" w:tentative="0">
      <w:start w:val="1"/>
      <w:numFmt w:val="decimal"/>
      <w:pStyle w:val="3"/>
      <w:lvlText w:val="%1.%2"/>
      <w:lvlJc w:val="left"/>
      <w:pPr>
        <w:ind w:left="576" w:hanging="576"/>
      </w:pPr>
    </w:lvl>
    <w:lvl w:ilvl="2" w:tentative="0">
      <w:start w:val="1"/>
      <w:numFmt w:val="decimal"/>
      <w:pStyle w:val="4"/>
      <w:lvlText w:val="%1.%2.%3"/>
      <w:lvlJc w:val="left"/>
      <w:pPr>
        <w:ind w:left="720" w:hanging="720"/>
      </w:pPr>
    </w:lvl>
    <w:lvl w:ilvl="3" w:tentative="0">
      <w:start w:val="1"/>
      <w:numFmt w:val="decimal"/>
      <w:pStyle w:val="5"/>
      <w:lvlText w:val="%1.%2.%3.%4"/>
      <w:lvlJc w:val="left"/>
      <w:pPr>
        <w:ind w:left="864" w:hanging="864"/>
      </w:pPr>
    </w:lvl>
    <w:lvl w:ilvl="4" w:tentative="0">
      <w:start w:val="1"/>
      <w:numFmt w:val="decimal"/>
      <w:pStyle w:val="6"/>
      <w:lvlText w:val="%1.%2.%3.%4.%5"/>
      <w:lvlJc w:val="left"/>
      <w:pPr>
        <w:ind w:left="1008" w:hanging="1008"/>
      </w:pPr>
    </w:lvl>
    <w:lvl w:ilvl="5" w:tentative="0">
      <w:start w:val="1"/>
      <w:numFmt w:val="decimal"/>
      <w:pStyle w:val="7"/>
      <w:lvlText w:val="%1.%2.%3.%4.%5.%6"/>
      <w:lvlJc w:val="left"/>
      <w:pPr>
        <w:ind w:left="1152" w:hanging="1152"/>
      </w:pPr>
    </w:lvl>
    <w:lvl w:ilvl="6" w:tentative="0">
      <w:start w:val="1"/>
      <w:numFmt w:val="decimal"/>
      <w:pStyle w:val="8"/>
      <w:lvlText w:val="%1.%2.%3.%4.%5.%6.%7"/>
      <w:lvlJc w:val="left"/>
      <w:pPr>
        <w:ind w:left="1296" w:hanging="1296"/>
      </w:pPr>
    </w:lvl>
    <w:lvl w:ilvl="7" w:tentative="0">
      <w:start w:val="1"/>
      <w:numFmt w:val="decimal"/>
      <w:pStyle w:val="9"/>
      <w:lvlText w:val="%1.%2.%3.%4.%5.%6.%7.%8"/>
      <w:lvlJc w:val="left"/>
      <w:pPr>
        <w:ind w:left="1440" w:hanging="1440"/>
      </w:pPr>
    </w:lvl>
    <w:lvl w:ilvl="8" w:tentative="0">
      <w:start w:val="1"/>
      <w:numFmt w:val="decimal"/>
      <w:pStyle w:val="10"/>
      <w:lvlText w:val="%1.%2.%3.%4.%5.%6.%7.%8.%9"/>
      <w:lvlJc w:val="left"/>
      <w:pPr>
        <w:ind w:left="1584" w:hanging="1584"/>
      </w:pPr>
    </w:lvl>
  </w:abstractNum>
  <w:abstractNum w:abstractNumId="2">
    <w:nsid w:val="39C87617"/>
    <w:multiLevelType w:val="multilevel"/>
    <w:tmpl w:val="39C87617"/>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4BA25D22"/>
    <w:multiLevelType w:val="multilevel"/>
    <w:tmpl w:val="4BA25D22"/>
    <w:lvl w:ilvl="0" w:tentative="0">
      <w:start w:val="1"/>
      <w:numFmt w:val="lowerLetter"/>
      <w:lvlText w:val="%1."/>
      <w:lvlJc w:val="left"/>
      <w:pPr>
        <w:ind w:left="540" w:hanging="360"/>
      </w:pPr>
    </w:lvl>
    <w:lvl w:ilvl="1" w:tentative="0">
      <w:start w:val="1"/>
      <w:numFmt w:val="lowerLetter"/>
      <w:lvlText w:val="%2."/>
      <w:lvlJc w:val="left"/>
      <w:pPr>
        <w:ind w:left="1260" w:hanging="360"/>
      </w:pPr>
    </w:lvl>
    <w:lvl w:ilvl="2" w:tentative="0">
      <w:start w:val="1"/>
      <w:numFmt w:val="lowerRoman"/>
      <w:lvlText w:val="%3."/>
      <w:lvlJc w:val="right"/>
      <w:pPr>
        <w:ind w:left="1980" w:hanging="180"/>
      </w:pPr>
    </w:lvl>
    <w:lvl w:ilvl="3" w:tentative="0">
      <w:start w:val="1"/>
      <w:numFmt w:val="decimal"/>
      <w:lvlText w:val="%4."/>
      <w:lvlJc w:val="left"/>
      <w:pPr>
        <w:ind w:left="2700" w:hanging="360"/>
      </w:pPr>
    </w:lvl>
    <w:lvl w:ilvl="4" w:tentative="0">
      <w:start w:val="1"/>
      <w:numFmt w:val="lowerLetter"/>
      <w:lvlText w:val="%5."/>
      <w:lvlJc w:val="left"/>
      <w:pPr>
        <w:ind w:left="3420" w:hanging="360"/>
      </w:pPr>
    </w:lvl>
    <w:lvl w:ilvl="5" w:tentative="0">
      <w:start w:val="1"/>
      <w:numFmt w:val="lowerRoman"/>
      <w:lvlText w:val="%6."/>
      <w:lvlJc w:val="right"/>
      <w:pPr>
        <w:ind w:left="4140" w:hanging="180"/>
      </w:pPr>
    </w:lvl>
    <w:lvl w:ilvl="6" w:tentative="0">
      <w:start w:val="1"/>
      <w:numFmt w:val="decimal"/>
      <w:lvlText w:val="%7."/>
      <w:lvlJc w:val="left"/>
      <w:pPr>
        <w:ind w:left="4860" w:hanging="360"/>
      </w:pPr>
    </w:lvl>
    <w:lvl w:ilvl="7" w:tentative="0">
      <w:start w:val="1"/>
      <w:numFmt w:val="lowerLetter"/>
      <w:lvlText w:val="%8."/>
      <w:lvlJc w:val="left"/>
      <w:pPr>
        <w:ind w:left="5580" w:hanging="360"/>
      </w:pPr>
    </w:lvl>
    <w:lvl w:ilvl="8" w:tentative="0">
      <w:start w:val="1"/>
      <w:numFmt w:val="lowerRoman"/>
      <w:lvlText w:val="%9."/>
      <w:lvlJc w:val="right"/>
      <w:pPr>
        <w:ind w:left="6300" w:hanging="180"/>
      </w:pPr>
    </w:lvl>
  </w:abstractNum>
  <w:abstractNum w:abstractNumId="4">
    <w:nsid w:val="4D8E762D"/>
    <w:multiLevelType w:val="multilevel"/>
    <w:tmpl w:val="4D8E762D"/>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5">
    <w:nsid w:val="53C75028"/>
    <w:multiLevelType w:val="multilevel"/>
    <w:tmpl w:val="53C75028"/>
    <w:lvl w:ilvl="0" w:tentative="0">
      <w:start w:val="1"/>
      <w:numFmt w:val="bullet"/>
      <w:lvlText w:val=""/>
      <w:lvlJc w:val="left"/>
      <w:pPr>
        <w:ind w:left="450" w:hanging="360"/>
      </w:pPr>
      <w:rPr>
        <w:rFonts w:hint="default" w:ascii="Symbol" w:hAnsi="Symbol"/>
      </w:rPr>
    </w:lvl>
    <w:lvl w:ilvl="1" w:tentative="0">
      <w:start w:val="1"/>
      <w:numFmt w:val="bullet"/>
      <w:lvlText w:val="o"/>
      <w:lvlJc w:val="left"/>
      <w:pPr>
        <w:ind w:left="1170" w:hanging="360"/>
      </w:pPr>
      <w:rPr>
        <w:rFonts w:hint="default" w:ascii="Courier New" w:hAnsi="Courier New" w:cs="Courier New"/>
      </w:rPr>
    </w:lvl>
    <w:lvl w:ilvl="2" w:tentative="0">
      <w:start w:val="1"/>
      <w:numFmt w:val="bullet"/>
      <w:lvlText w:val=""/>
      <w:lvlJc w:val="left"/>
      <w:pPr>
        <w:ind w:left="1890" w:hanging="360"/>
      </w:pPr>
      <w:rPr>
        <w:rFonts w:hint="default" w:ascii="Wingdings" w:hAnsi="Wingdings"/>
      </w:rPr>
    </w:lvl>
    <w:lvl w:ilvl="3" w:tentative="0">
      <w:start w:val="1"/>
      <w:numFmt w:val="bullet"/>
      <w:lvlText w:val=""/>
      <w:lvlJc w:val="left"/>
      <w:pPr>
        <w:ind w:left="2610" w:hanging="360"/>
      </w:pPr>
      <w:rPr>
        <w:rFonts w:hint="default" w:ascii="Symbol" w:hAnsi="Symbol"/>
      </w:rPr>
    </w:lvl>
    <w:lvl w:ilvl="4" w:tentative="0">
      <w:start w:val="1"/>
      <w:numFmt w:val="bullet"/>
      <w:lvlText w:val="o"/>
      <w:lvlJc w:val="left"/>
      <w:pPr>
        <w:ind w:left="3330" w:hanging="360"/>
      </w:pPr>
      <w:rPr>
        <w:rFonts w:hint="default" w:ascii="Courier New" w:hAnsi="Courier New" w:cs="Courier New"/>
      </w:rPr>
    </w:lvl>
    <w:lvl w:ilvl="5" w:tentative="0">
      <w:start w:val="1"/>
      <w:numFmt w:val="bullet"/>
      <w:lvlText w:val=""/>
      <w:lvlJc w:val="left"/>
      <w:pPr>
        <w:ind w:left="4050" w:hanging="360"/>
      </w:pPr>
      <w:rPr>
        <w:rFonts w:hint="default" w:ascii="Wingdings" w:hAnsi="Wingdings"/>
      </w:rPr>
    </w:lvl>
    <w:lvl w:ilvl="6" w:tentative="0">
      <w:start w:val="1"/>
      <w:numFmt w:val="bullet"/>
      <w:lvlText w:val=""/>
      <w:lvlJc w:val="left"/>
      <w:pPr>
        <w:ind w:left="4770" w:hanging="360"/>
      </w:pPr>
      <w:rPr>
        <w:rFonts w:hint="default" w:ascii="Symbol" w:hAnsi="Symbol"/>
      </w:rPr>
    </w:lvl>
    <w:lvl w:ilvl="7" w:tentative="0">
      <w:start w:val="1"/>
      <w:numFmt w:val="bullet"/>
      <w:lvlText w:val="o"/>
      <w:lvlJc w:val="left"/>
      <w:pPr>
        <w:ind w:left="5490" w:hanging="360"/>
      </w:pPr>
      <w:rPr>
        <w:rFonts w:hint="default" w:ascii="Courier New" w:hAnsi="Courier New" w:cs="Courier New"/>
      </w:rPr>
    </w:lvl>
    <w:lvl w:ilvl="8" w:tentative="0">
      <w:start w:val="1"/>
      <w:numFmt w:val="bullet"/>
      <w:lvlText w:val=""/>
      <w:lvlJc w:val="left"/>
      <w:pPr>
        <w:ind w:left="6210" w:hanging="360"/>
      </w:pPr>
      <w:rPr>
        <w:rFonts w:hint="default" w:ascii="Wingdings" w:hAnsi="Wingdings"/>
      </w:rPr>
    </w:lvl>
  </w:abstractNum>
  <w:abstractNum w:abstractNumId="6">
    <w:nsid w:val="5E162EB7"/>
    <w:multiLevelType w:val="multilevel"/>
    <w:tmpl w:val="5E162EB7"/>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2"/>
  </w:num>
  <w:num w:numId="3">
    <w:abstractNumId w:val="6"/>
  </w:num>
  <w:num w:numId="4">
    <w:abstractNumId w:val="4"/>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370"/>
    <w:rsid w:val="000229F4"/>
    <w:rsid w:val="00027917"/>
    <w:rsid w:val="00047805"/>
    <w:rsid w:val="00070B24"/>
    <w:rsid w:val="00073F3A"/>
    <w:rsid w:val="000778FB"/>
    <w:rsid w:val="00081CD7"/>
    <w:rsid w:val="000902EA"/>
    <w:rsid w:val="000A336D"/>
    <w:rsid w:val="000A3EE0"/>
    <w:rsid w:val="000F316E"/>
    <w:rsid w:val="00132294"/>
    <w:rsid w:val="00137B9E"/>
    <w:rsid w:val="001557AA"/>
    <w:rsid w:val="0017446F"/>
    <w:rsid w:val="00187ADC"/>
    <w:rsid w:val="00191FDB"/>
    <w:rsid w:val="001A2701"/>
    <w:rsid w:val="001A7EBD"/>
    <w:rsid w:val="001B1424"/>
    <w:rsid w:val="001B2CB6"/>
    <w:rsid w:val="001C2DB3"/>
    <w:rsid w:val="001F78AF"/>
    <w:rsid w:val="002034FB"/>
    <w:rsid w:val="00263BFB"/>
    <w:rsid w:val="00294800"/>
    <w:rsid w:val="002B7B10"/>
    <w:rsid w:val="002E612F"/>
    <w:rsid w:val="00313E06"/>
    <w:rsid w:val="00347B4D"/>
    <w:rsid w:val="0035426F"/>
    <w:rsid w:val="00355ABA"/>
    <w:rsid w:val="003815F8"/>
    <w:rsid w:val="00386B0B"/>
    <w:rsid w:val="00394289"/>
    <w:rsid w:val="003A308E"/>
    <w:rsid w:val="003A3ADE"/>
    <w:rsid w:val="003B54DB"/>
    <w:rsid w:val="003C331D"/>
    <w:rsid w:val="0040545E"/>
    <w:rsid w:val="00431223"/>
    <w:rsid w:val="00443DE6"/>
    <w:rsid w:val="00460F10"/>
    <w:rsid w:val="00482E50"/>
    <w:rsid w:val="004876F8"/>
    <w:rsid w:val="00497803"/>
    <w:rsid w:val="00522285"/>
    <w:rsid w:val="005270AE"/>
    <w:rsid w:val="00532B32"/>
    <w:rsid w:val="0053447E"/>
    <w:rsid w:val="0055169C"/>
    <w:rsid w:val="005776CD"/>
    <w:rsid w:val="005815F8"/>
    <w:rsid w:val="005A170B"/>
    <w:rsid w:val="005A221E"/>
    <w:rsid w:val="005A4C2A"/>
    <w:rsid w:val="005E0494"/>
    <w:rsid w:val="00601A98"/>
    <w:rsid w:val="006026F5"/>
    <w:rsid w:val="0061615D"/>
    <w:rsid w:val="006617AB"/>
    <w:rsid w:val="006718D8"/>
    <w:rsid w:val="00685C5C"/>
    <w:rsid w:val="00692226"/>
    <w:rsid w:val="00693879"/>
    <w:rsid w:val="006A2571"/>
    <w:rsid w:val="006B1712"/>
    <w:rsid w:val="006B6733"/>
    <w:rsid w:val="006E131D"/>
    <w:rsid w:val="006E7D4C"/>
    <w:rsid w:val="00720DAE"/>
    <w:rsid w:val="007424DC"/>
    <w:rsid w:val="00747ADD"/>
    <w:rsid w:val="00760055"/>
    <w:rsid w:val="00795C19"/>
    <w:rsid w:val="007C2A3E"/>
    <w:rsid w:val="007E6A7E"/>
    <w:rsid w:val="007E7E47"/>
    <w:rsid w:val="00801D22"/>
    <w:rsid w:val="00802C8E"/>
    <w:rsid w:val="008242D9"/>
    <w:rsid w:val="00852150"/>
    <w:rsid w:val="00853E9A"/>
    <w:rsid w:val="008857CF"/>
    <w:rsid w:val="008C0DC1"/>
    <w:rsid w:val="008C1553"/>
    <w:rsid w:val="008D6A1A"/>
    <w:rsid w:val="008E13D7"/>
    <w:rsid w:val="008E4ECD"/>
    <w:rsid w:val="008E7EA8"/>
    <w:rsid w:val="00901E09"/>
    <w:rsid w:val="00941F90"/>
    <w:rsid w:val="0094628A"/>
    <w:rsid w:val="00954431"/>
    <w:rsid w:val="0098316D"/>
    <w:rsid w:val="00986B0B"/>
    <w:rsid w:val="009E384D"/>
    <w:rsid w:val="009F4C06"/>
    <w:rsid w:val="00A30ABB"/>
    <w:rsid w:val="00A324C3"/>
    <w:rsid w:val="00A343CE"/>
    <w:rsid w:val="00A52D85"/>
    <w:rsid w:val="00A70873"/>
    <w:rsid w:val="00A8451F"/>
    <w:rsid w:val="00B13BF1"/>
    <w:rsid w:val="00B27854"/>
    <w:rsid w:val="00B3699F"/>
    <w:rsid w:val="00B600AC"/>
    <w:rsid w:val="00B73BA6"/>
    <w:rsid w:val="00B82927"/>
    <w:rsid w:val="00BA5370"/>
    <w:rsid w:val="00BC5214"/>
    <w:rsid w:val="00BE4C3F"/>
    <w:rsid w:val="00C54A78"/>
    <w:rsid w:val="00C64A18"/>
    <w:rsid w:val="00C73A82"/>
    <w:rsid w:val="00CB72E0"/>
    <w:rsid w:val="00CD3C14"/>
    <w:rsid w:val="00CD67E6"/>
    <w:rsid w:val="00D1794E"/>
    <w:rsid w:val="00D23822"/>
    <w:rsid w:val="00D30CA6"/>
    <w:rsid w:val="00D34BCB"/>
    <w:rsid w:val="00D77467"/>
    <w:rsid w:val="00D80A19"/>
    <w:rsid w:val="00D82160"/>
    <w:rsid w:val="00D9487F"/>
    <w:rsid w:val="00DA4A52"/>
    <w:rsid w:val="00DB1B8E"/>
    <w:rsid w:val="00E2316B"/>
    <w:rsid w:val="00E431C6"/>
    <w:rsid w:val="00EF0732"/>
    <w:rsid w:val="00EF28E2"/>
    <w:rsid w:val="00F1649B"/>
    <w:rsid w:val="00F25F44"/>
    <w:rsid w:val="00F35237"/>
    <w:rsid w:val="00F5067F"/>
    <w:rsid w:val="00F516E6"/>
    <w:rsid w:val="00F862EB"/>
    <w:rsid w:val="00FA4C22"/>
    <w:rsid w:val="00FB04DD"/>
    <w:rsid w:val="00FC0ECF"/>
    <w:rsid w:val="00FF0F6B"/>
    <w:rsid w:val="00FF40BF"/>
    <w:rsid w:val="51834C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semiHidden="0"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fr-FR" w:eastAsia="en-US" w:bidi="ar-SA"/>
    </w:rPr>
  </w:style>
  <w:style w:type="paragraph" w:styleId="2">
    <w:name w:val="heading 1"/>
    <w:basedOn w:val="1"/>
    <w:link w:val="22"/>
    <w:qFormat/>
    <w:uiPriority w:val="9"/>
    <w:pPr>
      <w:numPr>
        <w:ilvl w:val="0"/>
        <w:numId w:val="1"/>
      </w:numPr>
      <w:spacing w:before="100" w:beforeAutospacing="1" w:after="100" w:afterAutospacing="1" w:line="240" w:lineRule="auto"/>
      <w:outlineLvl w:val="0"/>
    </w:pPr>
    <w:rPr>
      <w:rFonts w:ascii="Times New Roman" w:hAnsi="Times New Roman" w:eastAsia="Times New Roman"/>
      <w:b/>
      <w:bCs/>
      <w:kern w:val="36"/>
      <w:sz w:val="48"/>
      <w:szCs w:val="48"/>
      <w:lang w:eastAsia="fr-FR"/>
    </w:rPr>
  </w:style>
  <w:style w:type="paragraph" w:styleId="3">
    <w:name w:val="heading 2"/>
    <w:basedOn w:val="1"/>
    <w:next w:val="1"/>
    <w:link w:val="23"/>
    <w:unhideWhenUsed/>
    <w:qFormat/>
    <w:uiPriority w:val="9"/>
    <w:pPr>
      <w:keepNext/>
      <w:numPr>
        <w:ilvl w:val="1"/>
        <w:numId w:val="1"/>
      </w:numPr>
      <w:spacing w:before="240" w:after="60" w:line="259" w:lineRule="auto"/>
      <w:outlineLvl w:val="1"/>
    </w:pPr>
    <w:rPr>
      <w:rFonts w:ascii="Cambria" w:hAnsi="Cambria" w:eastAsia="Times New Roman"/>
      <w:b/>
      <w:bCs/>
      <w:i/>
      <w:iCs/>
      <w:sz w:val="28"/>
      <w:szCs w:val="28"/>
      <w:lang w:val="en-GB"/>
    </w:rPr>
  </w:style>
  <w:style w:type="paragraph" w:styleId="4">
    <w:name w:val="heading 3"/>
    <w:basedOn w:val="1"/>
    <w:next w:val="1"/>
    <w:link w:val="24"/>
    <w:semiHidden/>
    <w:unhideWhenUsed/>
    <w:qFormat/>
    <w:uiPriority w:val="9"/>
    <w:pPr>
      <w:keepNext/>
      <w:numPr>
        <w:ilvl w:val="2"/>
        <w:numId w:val="1"/>
      </w:numPr>
      <w:spacing w:before="240" w:after="60" w:line="259" w:lineRule="auto"/>
      <w:outlineLvl w:val="2"/>
    </w:pPr>
    <w:rPr>
      <w:rFonts w:ascii="Cambria" w:hAnsi="Cambria" w:eastAsia="Times New Roman"/>
      <w:b/>
      <w:bCs/>
      <w:sz w:val="26"/>
      <w:szCs w:val="26"/>
      <w:lang w:val="en-GB"/>
    </w:rPr>
  </w:style>
  <w:style w:type="paragraph" w:styleId="5">
    <w:name w:val="heading 4"/>
    <w:basedOn w:val="1"/>
    <w:next w:val="1"/>
    <w:link w:val="25"/>
    <w:semiHidden/>
    <w:unhideWhenUsed/>
    <w:qFormat/>
    <w:uiPriority w:val="9"/>
    <w:pPr>
      <w:keepNext/>
      <w:numPr>
        <w:ilvl w:val="3"/>
        <w:numId w:val="1"/>
      </w:numPr>
      <w:spacing w:before="240" w:after="60" w:line="259" w:lineRule="auto"/>
      <w:outlineLvl w:val="3"/>
    </w:pPr>
    <w:rPr>
      <w:rFonts w:eastAsia="Times New Roman"/>
      <w:b/>
      <w:bCs/>
      <w:sz w:val="28"/>
      <w:szCs w:val="28"/>
      <w:lang w:val="en-GB"/>
    </w:rPr>
  </w:style>
  <w:style w:type="paragraph" w:styleId="6">
    <w:name w:val="heading 5"/>
    <w:basedOn w:val="1"/>
    <w:next w:val="1"/>
    <w:link w:val="26"/>
    <w:semiHidden/>
    <w:unhideWhenUsed/>
    <w:qFormat/>
    <w:uiPriority w:val="9"/>
    <w:pPr>
      <w:numPr>
        <w:ilvl w:val="4"/>
        <w:numId w:val="1"/>
      </w:numPr>
      <w:spacing w:before="240" w:after="60" w:line="259" w:lineRule="auto"/>
      <w:outlineLvl w:val="4"/>
    </w:pPr>
    <w:rPr>
      <w:rFonts w:eastAsia="Times New Roman"/>
      <w:b/>
      <w:bCs/>
      <w:i/>
      <w:iCs/>
      <w:sz w:val="26"/>
      <w:szCs w:val="26"/>
      <w:lang w:val="en-GB"/>
    </w:rPr>
  </w:style>
  <w:style w:type="paragraph" w:styleId="7">
    <w:name w:val="heading 6"/>
    <w:basedOn w:val="1"/>
    <w:next w:val="1"/>
    <w:link w:val="27"/>
    <w:semiHidden/>
    <w:unhideWhenUsed/>
    <w:qFormat/>
    <w:uiPriority w:val="9"/>
    <w:pPr>
      <w:numPr>
        <w:ilvl w:val="5"/>
        <w:numId w:val="1"/>
      </w:numPr>
      <w:spacing w:before="240" w:after="60" w:line="259" w:lineRule="auto"/>
      <w:outlineLvl w:val="5"/>
    </w:pPr>
    <w:rPr>
      <w:rFonts w:eastAsia="Times New Roman"/>
      <w:b/>
      <w:bCs/>
      <w:lang w:val="en-GB"/>
    </w:rPr>
  </w:style>
  <w:style w:type="paragraph" w:styleId="8">
    <w:name w:val="heading 7"/>
    <w:basedOn w:val="1"/>
    <w:next w:val="1"/>
    <w:link w:val="28"/>
    <w:semiHidden/>
    <w:unhideWhenUsed/>
    <w:qFormat/>
    <w:uiPriority w:val="9"/>
    <w:pPr>
      <w:numPr>
        <w:ilvl w:val="6"/>
        <w:numId w:val="1"/>
      </w:numPr>
      <w:spacing w:before="240" w:after="60" w:line="259" w:lineRule="auto"/>
      <w:outlineLvl w:val="6"/>
    </w:pPr>
    <w:rPr>
      <w:rFonts w:eastAsia="Times New Roman"/>
      <w:sz w:val="24"/>
      <w:szCs w:val="24"/>
      <w:lang w:val="en-GB"/>
    </w:rPr>
  </w:style>
  <w:style w:type="paragraph" w:styleId="9">
    <w:name w:val="heading 8"/>
    <w:basedOn w:val="1"/>
    <w:next w:val="1"/>
    <w:link w:val="29"/>
    <w:unhideWhenUsed/>
    <w:qFormat/>
    <w:uiPriority w:val="9"/>
    <w:pPr>
      <w:numPr>
        <w:ilvl w:val="7"/>
        <w:numId w:val="1"/>
      </w:numPr>
      <w:spacing w:before="240" w:after="60" w:line="259" w:lineRule="auto"/>
      <w:outlineLvl w:val="7"/>
    </w:pPr>
    <w:rPr>
      <w:rFonts w:eastAsia="Times New Roman"/>
      <w:i/>
      <w:iCs/>
      <w:sz w:val="24"/>
      <w:szCs w:val="24"/>
      <w:lang w:val="en-GB"/>
    </w:rPr>
  </w:style>
  <w:style w:type="paragraph" w:styleId="10">
    <w:name w:val="heading 9"/>
    <w:basedOn w:val="1"/>
    <w:next w:val="1"/>
    <w:link w:val="30"/>
    <w:semiHidden/>
    <w:unhideWhenUsed/>
    <w:qFormat/>
    <w:uiPriority w:val="9"/>
    <w:pPr>
      <w:numPr>
        <w:ilvl w:val="8"/>
        <w:numId w:val="1"/>
      </w:numPr>
      <w:spacing w:before="240" w:after="60" w:line="259" w:lineRule="auto"/>
      <w:outlineLvl w:val="8"/>
    </w:pPr>
    <w:rPr>
      <w:rFonts w:ascii="Cambria" w:hAnsi="Cambria" w:eastAsia="Times New Roman"/>
      <w:lang w:val="en-GB"/>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Balloon Text"/>
    <w:basedOn w:val="1"/>
    <w:link w:val="21"/>
    <w:unhideWhenUsed/>
    <w:uiPriority w:val="99"/>
    <w:pPr>
      <w:suppressAutoHyphens/>
      <w:autoSpaceDN w:val="0"/>
      <w:spacing w:after="0" w:line="240" w:lineRule="auto"/>
      <w:textAlignment w:val="baseline"/>
    </w:pPr>
    <w:rPr>
      <w:rFonts w:ascii="Segoe UI" w:hAnsi="Segoe UI"/>
      <w:sz w:val="18"/>
      <w:szCs w:val="18"/>
    </w:rPr>
  </w:style>
  <w:style w:type="paragraph" w:styleId="14">
    <w:name w:val="Block Text"/>
    <w:basedOn w:val="1"/>
    <w:unhideWhenUsed/>
    <w:uiPriority w:val="99"/>
    <w:pPr>
      <w:spacing w:before="100" w:beforeAutospacing="1" w:after="100" w:afterAutospacing="1" w:line="240" w:lineRule="auto"/>
    </w:pPr>
    <w:rPr>
      <w:rFonts w:ascii="Times New Roman" w:hAnsi="Times New Roman" w:eastAsia="Times New Roman"/>
      <w:sz w:val="24"/>
      <w:szCs w:val="24"/>
      <w:lang w:eastAsia="fr-FR"/>
    </w:rPr>
  </w:style>
  <w:style w:type="character" w:styleId="15">
    <w:name w:val="annotation reference"/>
    <w:semiHidden/>
    <w:unhideWhenUsed/>
    <w:uiPriority w:val="99"/>
    <w:rPr>
      <w:sz w:val="16"/>
      <w:szCs w:val="16"/>
    </w:rPr>
  </w:style>
  <w:style w:type="paragraph" w:styleId="16">
    <w:name w:val="annotation text"/>
    <w:basedOn w:val="1"/>
    <w:link w:val="34"/>
    <w:semiHidden/>
    <w:unhideWhenUsed/>
    <w:uiPriority w:val="99"/>
    <w:rPr>
      <w:sz w:val="20"/>
      <w:szCs w:val="20"/>
    </w:rPr>
  </w:style>
  <w:style w:type="paragraph" w:styleId="17">
    <w:name w:val="annotation subject"/>
    <w:basedOn w:val="16"/>
    <w:next w:val="16"/>
    <w:link w:val="35"/>
    <w:semiHidden/>
    <w:unhideWhenUsed/>
    <w:uiPriority w:val="99"/>
    <w:rPr>
      <w:b/>
      <w:bCs/>
    </w:rPr>
  </w:style>
  <w:style w:type="paragraph" w:styleId="18">
    <w:name w:val="footer"/>
    <w:basedOn w:val="1"/>
    <w:link w:val="32"/>
    <w:unhideWhenUsed/>
    <w:uiPriority w:val="99"/>
    <w:pPr>
      <w:tabs>
        <w:tab w:val="center" w:pos="4680"/>
        <w:tab w:val="right" w:pos="9360"/>
      </w:tabs>
      <w:spacing w:after="0" w:line="240" w:lineRule="auto"/>
    </w:pPr>
  </w:style>
  <w:style w:type="paragraph" w:styleId="19">
    <w:name w:val="header"/>
    <w:basedOn w:val="1"/>
    <w:link w:val="31"/>
    <w:semiHidden/>
    <w:unhideWhenUsed/>
    <w:uiPriority w:val="99"/>
    <w:pPr>
      <w:tabs>
        <w:tab w:val="center" w:pos="4680"/>
        <w:tab w:val="right" w:pos="9360"/>
      </w:tabs>
      <w:spacing w:after="0" w:line="240" w:lineRule="auto"/>
    </w:pPr>
  </w:style>
  <w:style w:type="character" w:styleId="20">
    <w:name w:val="Hyperlink"/>
    <w:unhideWhenUsed/>
    <w:uiPriority w:val="99"/>
    <w:rPr>
      <w:color w:val="0000FF"/>
      <w:u w:val="single"/>
    </w:rPr>
  </w:style>
  <w:style w:type="character" w:customStyle="1" w:styleId="21">
    <w:name w:val="Balloon Text Char"/>
    <w:link w:val="13"/>
    <w:uiPriority w:val="99"/>
    <w:rPr>
      <w:rFonts w:ascii="Segoe UI" w:hAnsi="Segoe UI" w:eastAsia="Calibri" w:cs="Times New Roman"/>
      <w:sz w:val="18"/>
      <w:szCs w:val="18"/>
    </w:rPr>
  </w:style>
  <w:style w:type="character" w:customStyle="1" w:styleId="22">
    <w:name w:val="Heading 1 Char"/>
    <w:link w:val="2"/>
    <w:uiPriority w:val="9"/>
    <w:rPr>
      <w:rFonts w:ascii="Times New Roman" w:hAnsi="Times New Roman" w:eastAsia="Times New Roman" w:cs="Times New Roman"/>
      <w:b/>
      <w:bCs/>
      <w:kern w:val="36"/>
      <w:sz w:val="48"/>
      <w:szCs w:val="48"/>
      <w:lang w:eastAsia="fr-FR"/>
    </w:rPr>
  </w:style>
  <w:style w:type="character" w:customStyle="1" w:styleId="23">
    <w:name w:val="Heading 2 Char"/>
    <w:link w:val="3"/>
    <w:uiPriority w:val="9"/>
    <w:rPr>
      <w:rFonts w:ascii="Cambria" w:hAnsi="Cambria" w:eastAsia="Times New Roman" w:cs="Times New Roman"/>
      <w:b/>
      <w:bCs/>
      <w:i/>
      <w:iCs/>
      <w:sz w:val="28"/>
      <w:szCs w:val="28"/>
      <w:lang w:val="en-GB"/>
    </w:rPr>
  </w:style>
  <w:style w:type="character" w:customStyle="1" w:styleId="24">
    <w:name w:val="Heading 3 Char"/>
    <w:link w:val="4"/>
    <w:semiHidden/>
    <w:uiPriority w:val="9"/>
    <w:rPr>
      <w:rFonts w:ascii="Cambria" w:hAnsi="Cambria" w:eastAsia="Times New Roman" w:cs="Times New Roman"/>
      <w:b/>
      <w:bCs/>
      <w:sz w:val="26"/>
      <w:szCs w:val="26"/>
      <w:lang w:val="en-GB"/>
    </w:rPr>
  </w:style>
  <w:style w:type="character" w:customStyle="1" w:styleId="25">
    <w:name w:val="Heading 4 Char"/>
    <w:link w:val="5"/>
    <w:semiHidden/>
    <w:uiPriority w:val="9"/>
    <w:rPr>
      <w:rFonts w:ascii="Calibri" w:hAnsi="Calibri" w:eastAsia="Times New Roman" w:cs="Times New Roman"/>
      <w:b/>
      <w:bCs/>
      <w:sz w:val="28"/>
      <w:szCs w:val="28"/>
      <w:lang w:val="en-GB"/>
    </w:rPr>
  </w:style>
  <w:style w:type="character" w:customStyle="1" w:styleId="26">
    <w:name w:val="Heading 5 Char"/>
    <w:link w:val="6"/>
    <w:semiHidden/>
    <w:uiPriority w:val="9"/>
    <w:rPr>
      <w:rFonts w:ascii="Calibri" w:hAnsi="Calibri" w:eastAsia="Times New Roman" w:cs="Times New Roman"/>
      <w:b/>
      <w:bCs/>
      <w:i/>
      <w:iCs/>
      <w:sz w:val="26"/>
      <w:szCs w:val="26"/>
      <w:lang w:val="en-GB"/>
    </w:rPr>
  </w:style>
  <w:style w:type="character" w:customStyle="1" w:styleId="27">
    <w:name w:val="Heading 6 Char"/>
    <w:link w:val="7"/>
    <w:semiHidden/>
    <w:uiPriority w:val="9"/>
    <w:rPr>
      <w:rFonts w:ascii="Calibri" w:hAnsi="Calibri" w:eastAsia="Times New Roman" w:cs="Times New Roman"/>
      <w:b/>
      <w:bCs/>
      <w:lang w:val="en-GB"/>
    </w:rPr>
  </w:style>
  <w:style w:type="character" w:customStyle="1" w:styleId="28">
    <w:name w:val="Heading 7 Char"/>
    <w:link w:val="8"/>
    <w:semiHidden/>
    <w:uiPriority w:val="9"/>
    <w:rPr>
      <w:rFonts w:ascii="Calibri" w:hAnsi="Calibri" w:eastAsia="Times New Roman" w:cs="Times New Roman"/>
      <w:sz w:val="24"/>
      <w:szCs w:val="24"/>
      <w:lang w:val="en-GB"/>
    </w:rPr>
  </w:style>
  <w:style w:type="character" w:customStyle="1" w:styleId="29">
    <w:name w:val="Heading 8 Char"/>
    <w:link w:val="9"/>
    <w:uiPriority w:val="9"/>
    <w:rPr>
      <w:rFonts w:ascii="Calibri" w:hAnsi="Calibri" w:eastAsia="Times New Roman" w:cs="Times New Roman"/>
      <w:i/>
      <w:iCs/>
      <w:sz w:val="24"/>
      <w:szCs w:val="24"/>
      <w:lang w:val="en-GB"/>
    </w:rPr>
  </w:style>
  <w:style w:type="character" w:customStyle="1" w:styleId="30">
    <w:name w:val="Heading 9 Char"/>
    <w:link w:val="10"/>
    <w:semiHidden/>
    <w:uiPriority w:val="9"/>
    <w:rPr>
      <w:rFonts w:ascii="Cambria" w:hAnsi="Cambria" w:eastAsia="Times New Roman" w:cs="Times New Roman"/>
      <w:lang w:val="en-GB"/>
    </w:rPr>
  </w:style>
  <w:style w:type="character" w:customStyle="1" w:styleId="31">
    <w:name w:val="Header Char"/>
    <w:link w:val="19"/>
    <w:semiHidden/>
    <w:uiPriority w:val="99"/>
    <w:rPr>
      <w:lang w:val="fr-FR"/>
    </w:rPr>
  </w:style>
  <w:style w:type="character" w:customStyle="1" w:styleId="32">
    <w:name w:val="Footer Char"/>
    <w:link w:val="18"/>
    <w:uiPriority w:val="99"/>
    <w:rPr>
      <w:lang w:val="fr-FR"/>
    </w:rPr>
  </w:style>
  <w:style w:type="paragraph" w:styleId="33">
    <w:name w:val="List Paragraph"/>
    <w:basedOn w:val="1"/>
    <w:qFormat/>
    <w:uiPriority w:val="34"/>
    <w:pPr>
      <w:spacing w:after="160" w:line="259" w:lineRule="auto"/>
      <w:ind w:left="720"/>
      <w:contextualSpacing/>
    </w:pPr>
    <w:rPr>
      <w:lang w:val="en-GB"/>
    </w:rPr>
  </w:style>
  <w:style w:type="character" w:customStyle="1" w:styleId="34">
    <w:name w:val="Comment Text Char"/>
    <w:link w:val="16"/>
    <w:semiHidden/>
    <w:uiPriority w:val="99"/>
    <w:rPr>
      <w:lang w:val="fr-FR"/>
    </w:rPr>
  </w:style>
  <w:style w:type="character" w:customStyle="1" w:styleId="35">
    <w:name w:val="Comment Subject Char"/>
    <w:link w:val="17"/>
    <w:semiHidden/>
    <w:uiPriority w:val="99"/>
    <w:rPr>
      <w:b/>
      <w:bCs/>
      <w:lang w:val="fr-FR"/>
    </w:rPr>
  </w:style>
  <w:style w:type="character" w:customStyle="1" w:styleId="36">
    <w:name w:val="Unresolved Mention"/>
    <w:basedOn w:val="11"/>
    <w:semiHidden/>
    <w:unhideWhenUsed/>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yperlink" Target="http://www.sfu.ca/fren270/Phonetique/trapze.htm#y1desc" TargetMode="External"/><Relationship Id="rId8" Type="http://schemas.openxmlformats.org/officeDocument/2006/relationships/image" Target="media/image1.png"/><Relationship Id="rId7" Type="http://schemas.openxmlformats.org/officeDocument/2006/relationships/hyperlink" Target="http://www.sfu.ca/fren270/Phonetique/trapze.htm#idesc" TargetMode="External"/><Relationship Id="rId6" Type="http://schemas.openxmlformats.org/officeDocument/2006/relationships/theme" Target="theme/theme1.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numbering" Target="numbering.xml"/><Relationship Id="rId37" Type="http://schemas.openxmlformats.org/officeDocument/2006/relationships/image" Target="media/image16.png"/><Relationship Id="rId36" Type="http://schemas.openxmlformats.org/officeDocument/2006/relationships/hyperlink" Target="http://www.sfu.ca/fren270/Phonetique/trapze.htm#an1desc" TargetMode="External"/><Relationship Id="rId35" Type="http://schemas.openxmlformats.org/officeDocument/2006/relationships/image" Target="media/image15.png"/><Relationship Id="rId34" Type="http://schemas.openxmlformats.org/officeDocument/2006/relationships/hyperlink" Target="http://www.sfu.ca/fren270/Phonetique/trapze.htm#on1desc" TargetMode="External"/><Relationship Id="rId33" Type="http://schemas.openxmlformats.org/officeDocument/2006/relationships/image" Target="media/image14.png"/><Relationship Id="rId32" Type="http://schemas.openxmlformats.org/officeDocument/2006/relationships/image" Target="media/image13.png"/><Relationship Id="rId31" Type="http://schemas.openxmlformats.org/officeDocument/2006/relationships/hyperlink" Target="http://www.sfu.ca/fren270/Phonetique/trapze.htm#in1desc" TargetMode="External"/><Relationship Id="rId30" Type="http://schemas.openxmlformats.org/officeDocument/2006/relationships/image" Target="media/image12.png"/><Relationship Id="rId3" Type="http://schemas.openxmlformats.org/officeDocument/2006/relationships/footnotes" Target="footnotes.xml"/><Relationship Id="rId29" Type="http://schemas.openxmlformats.org/officeDocument/2006/relationships/hyperlink" Target="http://www.sfu.ca/fren270/Phonetique/trapze.htm#a2desc" TargetMode="External"/><Relationship Id="rId28" Type="http://schemas.openxmlformats.org/officeDocument/2006/relationships/image" Target="media/image11.png"/><Relationship Id="rId27" Type="http://schemas.openxmlformats.org/officeDocument/2006/relationships/hyperlink" Target="http://www.sfu.ca/fren270/Phonetique/trapze.htm#a1desc" TargetMode="External"/><Relationship Id="rId26" Type="http://schemas.openxmlformats.org/officeDocument/2006/relationships/image" Target="media/image10.png"/><Relationship Id="rId25" Type="http://schemas.openxmlformats.org/officeDocument/2006/relationships/hyperlink" Target="http://www.sfu.ca/fren270/Phonetique/trapze.htm#o2desc" TargetMode="External"/><Relationship Id="rId24" Type="http://schemas.openxmlformats.org/officeDocument/2006/relationships/image" Target="media/image9.png"/><Relationship Id="rId23" Type="http://schemas.openxmlformats.org/officeDocument/2006/relationships/hyperlink" Target="http://www.sfu.ca/fren270/Phonetique/trapze.htm#oe1desc" TargetMode="External"/><Relationship Id="rId22" Type="http://schemas.openxmlformats.org/officeDocument/2006/relationships/image" Target="media/image8.png"/><Relationship Id="rId21" Type="http://schemas.openxmlformats.org/officeDocument/2006/relationships/hyperlink" Target="http://www.sfu.ca/fren270/Phonetique/trapze.htm#e2desc" TargetMode="External"/><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hyperlink" Target="http://www.sfu.ca/fren270/Phonetique/trapze.htm#e3desc" TargetMode="External"/><Relationship Id="rId18" Type="http://schemas.openxmlformats.org/officeDocument/2006/relationships/image" Target="media/image6.png"/><Relationship Id="rId17" Type="http://schemas.openxmlformats.org/officeDocument/2006/relationships/hyperlink" Target="http://www.sfu.ca/fren270/Phonetique/trapze.htm#o1desc" TargetMode="External"/><Relationship Id="rId16" Type="http://schemas.openxmlformats.org/officeDocument/2006/relationships/image" Target="media/image5.png"/><Relationship Id="rId15" Type="http://schemas.openxmlformats.org/officeDocument/2006/relationships/hyperlink" Target="http://www.sfu.ca/fren270/Phonetique/trapze.htm#eu1desc" TargetMode="External"/><Relationship Id="rId14" Type="http://schemas.openxmlformats.org/officeDocument/2006/relationships/image" Target="media/image4.png"/><Relationship Id="rId13" Type="http://schemas.openxmlformats.org/officeDocument/2006/relationships/hyperlink" Target="http://www.sfu.ca/fren270/Phonetique/trapze.htm#e1desc" TargetMode="External"/><Relationship Id="rId12" Type="http://schemas.openxmlformats.org/officeDocument/2006/relationships/image" Target="media/image3.png"/><Relationship Id="rId11" Type="http://schemas.openxmlformats.org/officeDocument/2006/relationships/hyperlink" Target="http://www.sfu.ca/fren270/Phonetique/trapze.htm#ou1desc" TargetMode="External"/><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F6A03-5B78-4B3E-9191-D0A0949CA609}">
  <ds:schemaRefs/>
</ds:datastoreItem>
</file>

<file path=docProps/app.xml><?xml version="1.0" encoding="utf-8"?>
<Properties xmlns="http://schemas.openxmlformats.org/officeDocument/2006/extended-properties" xmlns:vt="http://schemas.openxmlformats.org/officeDocument/2006/docPropsVTypes">
  <Template>Normal</Template>
  <Pages>13</Pages>
  <Words>3207</Words>
  <Characters>18282</Characters>
  <Lines>152</Lines>
  <Paragraphs>42</Paragraphs>
  <TotalTime>66</TotalTime>
  <ScaleCrop>false</ScaleCrop>
  <LinksUpToDate>false</LinksUpToDate>
  <CharactersWithSpaces>21447</CharactersWithSpaces>
  <Application>WPS Office_12.2.0.13201_F1E327BC-269C-435d-A152-05C5408002CA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2023-04-25T12:57:00Z</dcterms:created>
  <dc:creator>Abdul_Ib Burour</dc:creator>
  <cp:lastModifiedBy>Ibrahim Abdulrahman</cp:lastModifiedBy>
  <dcterms:modified xsi:type="dcterms:W3CDTF">2023-09-13T14:24:39Z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2057-12.2.0.13201</vt:lpwstr>
  </property>
  <property fmtid="{D5CDD505-2E9C-101B-9397-08002B2CF9AE}" pid="3" name="ICV">
    <vt:lpwstr>EC38D6AFD71A484BAB8ADC23A2438087_12</vt:lpwstr>
  </property>
</Properties>
</file>